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316437</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Xiamen, China, October 09–October 13</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5.13.5.5</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bookmarkStart w:id="0" w:name="_GoBack"/>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held warm discussion around RRM aspects in ATG case. The following agreements were achieved in [1] around the measurement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
              <w:numPr>
                <w:ilvl w:val="0"/>
                <w:numId w:val="0"/>
              </w:numPr>
              <w:pBdr>
                <w:top w:val="none" w:color="auto" w:sz="0" w:space="3"/>
              </w:pBdr>
              <w:spacing w:before="180" w:after="180" w:line="240" w:lineRule="auto"/>
              <w:ind w:leftChars="0"/>
              <w:rPr>
                <w:rFonts w:hint="eastAsia"/>
                <w:b/>
                <w:sz w:val="20"/>
                <w:szCs w:val="20"/>
                <w:u w:val="single"/>
                <w:lang w:eastAsia="ko-KR"/>
              </w:rPr>
            </w:pPr>
            <w:r>
              <w:rPr>
                <w:rFonts w:hint="eastAsia" w:cs="Arial"/>
                <w:b/>
                <w:bCs/>
                <w:kern w:val="0"/>
                <w:sz w:val="24"/>
                <w:szCs w:val="24"/>
              </w:rPr>
              <w:t>Phase antenna array impact</w:t>
            </w:r>
          </w:p>
          <w:p>
            <w:pPr>
              <w:rPr>
                <w:b/>
                <w:sz w:val="20"/>
                <w:szCs w:val="20"/>
                <w:u w:val="single"/>
                <w:lang w:eastAsia="ko-KR"/>
              </w:rPr>
            </w:pPr>
            <w:r>
              <w:rPr>
                <w:rFonts w:hint="eastAsia"/>
                <w:b/>
                <w:sz w:val="20"/>
                <w:szCs w:val="20"/>
                <w:u w:val="single"/>
                <w:lang w:eastAsia="ko-KR"/>
              </w:rPr>
              <w:t>Issue 4-1-1: Phase antenna array impact for L3 measurements</w:t>
            </w:r>
          </w:p>
          <w:p>
            <w:pPr>
              <w:spacing w:after="60"/>
              <w:rPr>
                <w:rFonts w:eastAsia="宋体"/>
                <w:sz w:val="20"/>
                <w:szCs w:val="20"/>
                <w:lang w:eastAsia="ko-KR"/>
              </w:rPr>
            </w:pPr>
            <w:r>
              <w:rPr>
                <w:rFonts w:hint="eastAsia" w:eastAsiaTheme="minorEastAsia"/>
                <w:b/>
                <w:bCs/>
                <w:iCs/>
                <w:sz w:val="20"/>
                <w:szCs w:val="20"/>
              </w:rPr>
              <w:t xml:space="preserve">Agreement: </w:t>
            </w:r>
          </w:p>
          <w:p>
            <w:pPr>
              <w:pStyle w:val="28"/>
              <w:numPr>
                <w:ilvl w:val="0"/>
                <w:numId w:val="4"/>
              </w:numPr>
              <w:ind w:firstLineChars="0"/>
              <w:rPr>
                <w:rFonts w:eastAsia="宋体" w:cs="Times New Roman"/>
                <w:sz w:val="20"/>
                <w:szCs w:val="20"/>
                <w:lang w:eastAsia="ja-JP"/>
              </w:rPr>
            </w:pPr>
            <w:r>
              <w:rPr>
                <w:rFonts w:hint="eastAsia" w:eastAsia="宋体" w:cs="Times New Roman"/>
                <w:sz w:val="20"/>
                <w:szCs w:val="20"/>
              </w:rPr>
              <w:t>Recommend RAN2 to introduce network assistance on neighbor ATG cells reference locations similar to NTN assistance framework</w:t>
            </w:r>
          </w:p>
          <w:p>
            <w:pPr>
              <w:pStyle w:val="28"/>
              <w:numPr>
                <w:ilvl w:val="0"/>
                <w:numId w:val="4"/>
              </w:numPr>
              <w:ind w:firstLineChars="0"/>
              <w:rPr>
                <w:rFonts w:eastAsia="宋体" w:cs="Times New Roman"/>
                <w:sz w:val="20"/>
                <w:szCs w:val="20"/>
                <w:lang w:eastAsia="ja-JP"/>
              </w:rPr>
            </w:pPr>
            <w:r>
              <w:rPr>
                <w:rFonts w:hint="eastAsia" w:eastAsia="宋体" w:cs="Times New Roman"/>
                <w:sz w:val="20"/>
                <w:szCs w:val="20"/>
              </w:rPr>
              <w:t>Do not introduce scaling factor N and the existing measurement requirements can be reused for ATG UEs [with omnidirectional antennas]</w:t>
            </w:r>
          </w:p>
          <w:p>
            <w:pPr>
              <w:pStyle w:val="28"/>
              <w:numPr>
                <w:ilvl w:val="0"/>
                <w:numId w:val="4"/>
              </w:numPr>
              <w:ind w:firstLineChars="0"/>
              <w:rPr>
                <w:rFonts w:eastAsia="宋体" w:cs="Times New Roman"/>
                <w:sz w:val="20"/>
                <w:szCs w:val="20"/>
                <w:lang w:eastAsia="ja-JP"/>
              </w:rPr>
            </w:pPr>
            <w:r>
              <w:rPr>
                <w:rFonts w:hint="eastAsia" w:eastAsia="宋体" w:cs="Times New Roman"/>
                <w:sz w:val="20"/>
                <w:szCs w:val="20"/>
                <w:lang w:eastAsia="ja-JP"/>
              </w:rPr>
              <w:t xml:space="preserve">Introduce </w:t>
            </w:r>
            <w:r>
              <w:rPr>
                <w:rFonts w:hint="eastAsia" w:eastAsia="宋体" w:cs="Times New Roman"/>
                <w:sz w:val="20"/>
                <w:szCs w:val="20"/>
              </w:rPr>
              <w:t>scaling factor N for L3 measurements for ATG UEs with [antenna arrays]</w:t>
            </w:r>
          </w:p>
          <w:p>
            <w:pPr>
              <w:pStyle w:val="28"/>
              <w:numPr>
                <w:ilvl w:val="1"/>
                <w:numId w:val="4"/>
              </w:numPr>
              <w:ind w:firstLineChars="0"/>
              <w:rPr>
                <w:rFonts w:eastAsia="宋体" w:cs="Times New Roman"/>
                <w:sz w:val="20"/>
                <w:szCs w:val="20"/>
                <w:lang w:eastAsia="ja-JP"/>
              </w:rPr>
            </w:pPr>
            <w:r>
              <w:rPr>
                <w:rFonts w:hint="eastAsia" w:eastAsia="宋体" w:cs="Times New Roman"/>
                <w:sz w:val="20"/>
                <w:szCs w:val="20"/>
              </w:rPr>
              <w:t xml:space="preserve">N = </w:t>
            </w:r>
            <w:r>
              <w:rPr>
                <w:rFonts w:eastAsia="宋体" w:cs="Times New Roman"/>
                <w:sz w:val="20"/>
                <w:szCs w:val="20"/>
              </w:rPr>
              <w:t xml:space="preserve">3 </w:t>
            </w:r>
            <w:r>
              <w:rPr>
                <w:rFonts w:hint="eastAsia" w:eastAsia="宋体" w:cs="Times New Roman"/>
                <w:sz w:val="20"/>
                <w:szCs w:val="20"/>
              </w:rPr>
              <w:t>for the case when network assistance on ATG cells reference locations is provided</w:t>
            </w:r>
          </w:p>
          <w:p>
            <w:pPr>
              <w:pStyle w:val="28"/>
              <w:numPr>
                <w:ilvl w:val="1"/>
                <w:numId w:val="4"/>
              </w:numPr>
              <w:ind w:firstLineChars="0"/>
              <w:rPr>
                <w:rFonts w:eastAsia="宋体" w:cs="Times New Roman"/>
                <w:sz w:val="20"/>
                <w:szCs w:val="20"/>
                <w:lang w:eastAsia="ja-JP"/>
              </w:rPr>
            </w:pPr>
            <w:r>
              <w:rPr>
                <w:rFonts w:hint="eastAsia" w:eastAsia="宋体" w:cs="Times New Roman"/>
                <w:sz w:val="20"/>
                <w:szCs w:val="20"/>
              </w:rPr>
              <w:t>N = 4 otherwise</w:t>
            </w:r>
          </w:p>
          <w:p>
            <w:pPr>
              <w:pStyle w:val="28"/>
              <w:numPr>
                <w:ilvl w:val="0"/>
                <w:numId w:val="4"/>
              </w:numPr>
              <w:ind w:firstLineChars="0"/>
              <w:rPr>
                <w:rFonts w:eastAsia="宋体" w:cs="Times New Roman"/>
                <w:sz w:val="20"/>
                <w:szCs w:val="20"/>
                <w:lang w:eastAsia="ja-JP"/>
              </w:rPr>
            </w:pPr>
            <w:r>
              <w:rPr>
                <w:rFonts w:hint="eastAsia" w:eastAsia="宋体" w:cs="Times New Roman"/>
                <w:sz w:val="20"/>
                <w:szCs w:val="20"/>
              </w:rPr>
              <w:t>FFS if any additional UE capability is needed for ATG UEs with [antenna arrays]</w:t>
            </w:r>
          </w:p>
          <w:p>
            <w:pPr>
              <w:pStyle w:val="28"/>
              <w:numPr>
                <w:ilvl w:val="0"/>
                <w:numId w:val="4"/>
              </w:numPr>
              <w:ind w:firstLineChars="0"/>
              <w:rPr>
                <w:rFonts w:eastAsia="Malgun Gothic"/>
                <w:b/>
                <w:sz w:val="20"/>
                <w:szCs w:val="20"/>
                <w:u w:val="single"/>
                <w:lang w:eastAsia="ko-KR"/>
              </w:rPr>
            </w:pPr>
            <w:r>
              <w:rPr>
                <w:rFonts w:hint="eastAsia" w:eastAsia="宋体" w:cs="Times New Roman"/>
                <w:sz w:val="20"/>
                <w:szCs w:val="20"/>
              </w:rPr>
              <w:t>Note: the terms for UE types need to be further aligned with RF session</w:t>
            </w:r>
          </w:p>
          <w:p>
            <w:pPr>
              <w:pStyle w:val="28"/>
              <w:numPr>
                <w:ilvl w:val="0"/>
                <w:numId w:val="0"/>
              </w:numPr>
              <w:ind w:left="156" w:leftChars="0"/>
              <w:rPr>
                <w:rFonts w:eastAsia="Malgun Gothic"/>
                <w:b/>
                <w:sz w:val="20"/>
                <w:szCs w:val="20"/>
                <w:u w:val="single"/>
                <w:lang w:eastAsia="ko-KR"/>
              </w:rPr>
            </w:pPr>
          </w:p>
          <w:p>
            <w:pPr>
              <w:rPr>
                <w:b/>
                <w:sz w:val="20"/>
                <w:szCs w:val="20"/>
                <w:highlight w:val="yellow"/>
                <w:u w:val="single"/>
                <w:lang w:eastAsia="ko-KR"/>
              </w:rPr>
            </w:pPr>
            <w:r>
              <w:rPr>
                <w:rFonts w:hint="eastAsia"/>
                <w:b/>
                <w:sz w:val="20"/>
                <w:szCs w:val="20"/>
                <w:u w:val="single"/>
                <w:lang w:eastAsia="ko-KR"/>
              </w:rPr>
              <w:t>Issue 4-1-2: Phase antenna array impact for L1</w:t>
            </w:r>
            <w:r>
              <w:rPr>
                <w:b/>
                <w:strike/>
                <w:sz w:val="20"/>
                <w:szCs w:val="20"/>
                <w:u w:val="single"/>
                <w:lang w:eastAsia="ko-KR"/>
              </w:rPr>
              <w:t xml:space="preserve"> </w:t>
            </w:r>
            <w:r>
              <w:rPr>
                <w:rFonts w:hint="eastAsia"/>
                <w:b/>
                <w:sz w:val="20"/>
                <w:szCs w:val="20"/>
                <w:u w:val="single"/>
                <w:lang w:eastAsia="ko-KR"/>
              </w:rPr>
              <w:t>measurements</w:t>
            </w:r>
          </w:p>
          <w:p>
            <w:pPr>
              <w:pStyle w:val="28"/>
              <w:numPr>
                <w:ilvl w:val="0"/>
                <w:numId w:val="4"/>
              </w:numPr>
              <w:ind w:firstLineChars="0"/>
              <w:rPr>
                <w:rFonts w:eastAsia="宋体" w:cs="Times New Roman"/>
                <w:sz w:val="20"/>
                <w:szCs w:val="20"/>
                <w:lang w:val="en-GB"/>
              </w:rPr>
            </w:pPr>
            <w:r>
              <w:rPr>
                <w:rFonts w:hint="eastAsia" w:eastAsia="宋体" w:cs="Times New Roman"/>
                <w:sz w:val="20"/>
                <w:szCs w:val="20"/>
                <w:lang w:val="en-GB"/>
              </w:rPr>
              <w:t>Option 1: Do not introduce scaling factor N</w:t>
            </w:r>
            <w:r>
              <w:rPr>
                <w:rFonts w:hint="eastAsia" w:eastAsia="宋体" w:cs="Times New Roman"/>
                <w:sz w:val="20"/>
                <w:szCs w:val="20"/>
              </w:rPr>
              <w:t xml:space="preserve">. </w:t>
            </w:r>
            <w:r>
              <w:rPr>
                <w:rFonts w:hint="eastAsia" w:eastAsia="宋体" w:cs="Times New Roman"/>
                <w:sz w:val="20"/>
                <w:szCs w:val="20"/>
                <w:lang w:val="en-GB"/>
              </w:rPr>
              <w:t>Existing measurement requirements can be reused, provided that beam steering based on the positioning is capable for the ATG UE.</w:t>
            </w:r>
          </w:p>
          <w:p>
            <w:pPr>
              <w:pStyle w:val="28"/>
              <w:numPr>
                <w:ilvl w:val="0"/>
                <w:numId w:val="4"/>
              </w:numPr>
              <w:ind w:firstLineChars="0"/>
              <w:rPr>
                <w:rFonts w:eastAsia="宋体" w:cs="Times New Roman"/>
                <w:sz w:val="20"/>
                <w:szCs w:val="20"/>
              </w:rPr>
            </w:pPr>
            <w:r>
              <w:rPr>
                <w:rFonts w:hint="eastAsia" w:eastAsia="宋体" w:cs="Times New Roman"/>
                <w:sz w:val="20"/>
                <w:szCs w:val="20"/>
                <w:lang w:val="en-GB"/>
              </w:rPr>
              <w:t xml:space="preserve">Option 2: </w:t>
            </w:r>
            <w:r>
              <w:rPr>
                <w:rFonts w:hint="eastAsia" w:eastAsia="宋体" w:cs="Times New Roman"/>
                <w:sz w:val="20"/>
                <w:szCs w:val="20"/>
              </w:rPr>
              <w:t>Introduce</w:t>
            </w:r>
            <w:r>
              <w:rPr>
                <w:rFonts w:eastAsia="宋体" w:cs="Times New Roman"/>
                <w:sz w:val="20"/>
                <w:szCs w:val="20"/>
              </w:rPr>
              <w:t xml:space="preserve"> </w:t>
            </w:r>
            <w:r>
              <w:rPr>
                <w:rFonts w:hint="eastAsia" w:eastAsia="宋体" w:cs="Times New Roman"/>
                <w:sz w:val="20"/>
                <w:szCs w:val="20"/>
              </w:rPr>
              <w:t>scaling factor</w:t>
            </w:r>
            <w:r>
              <w:rPr>
                <w:rFonts w:hint="eastAsia" w:eastAsia="宋体" w:cs="Times New Roman"/>
                <w:strike/>
                <w:sz w:val="20"/>
                <w:szCs w:val="20"/>
              </w:rPr>
              <w:t>.</w:t>
            </w:r>
          </w:p>
          <w:p>
            <w:pPr>
              <w:pStyle w:val="28"/>
              <w:numPr>
                <w:ilvl w:val="1"/>
                <w:numId w:val="4"/>
              </w:numPr>
              <w:ind w:firstLineChars="0"/>
              <w:rPr>
                <w:rFonts w:eastAsia="宋体" w:cs="Times New Roman"/>
                <w:sz w:val="20"/>
                <w:szCs w:val="20"/>
              </w:rPr>
            </w:pPr>
            <w:r>
              <w:rPr>
                <w:rFonts w:hint="eastAsia" w:eastAsia="宋体" w:cs="Times New Roman"/>
                <w:sz w:val="20"/>
                <w:szCs w:val="20"/>
              </w:rPr>
              <w:t>Option 2-1:</w:t>
            </w:r>
          </w:p>
          <w:p>
            <w:pPr>
              <w:pStyle w:val="28"/>
              <w:numPr>
                <w:ilvl w:val="2"/>
                <w:numId w:val="4"/>
              </w:numPr>
              <w:ind w:firstLineChars="0"/>
              <w:rPr>
                <w:rFonts w:eastAsia="宋体" w:cs="Times New Roman"/>
                <w:sz w:val="20"/>
                <w:szCs w:val="20"/>
              </w:rPr>
            </w:pPr>
            <w:r>
              <w:rPr>
                <w:rFonts w:hint="eastAsia" w:eastAsia="宋体" w:cs="Times New Roman"/>
                <w:sz w:val="20"/>
                <w:szCs w:val="20"/>
              </w:rPr>
              <w:t>For FR1 ATG UE with phase array antenna, scaling factor</w:t>
            </w:r>
            <w:r>
              <w:rPr>
                <w:rFonts w:eastAsia="宋体" w:cs="Times New Roman"/>
                <w:strike/>
                <w:sz w:val="20"/>
                <w:szCs w:val="20"/>
              </w:rPr>
              <w:t xml:space="preserve"> </w:t>
            </w:r>
            <w:r>
              <w:rPr>
                <w:rFonts w:hint="eastAsia" w:eastAsia="宋体" w:cs="Times New Roman"/>
                <w:sz w:val="20"/>
                <w:szCs w:val="20"/>
              </w:rPr>
              <w:t>’P’ for L1 serving cell measurement, L3 neighbouring cell intra-frequency measurement without MG and inter-frequency measurement without MG should be introduced. The impacted requirements including:</w:t>
            </w:r>
          </w:p>
          <w:p>
            <w:pPr>
              <w:pStyle w:val="28"/>
              <w:numPr>
                <w:ilvl w:val="3"/>
                <w:numId w:val="4"/>
              </w:numPr>
              <w:ind w:firstLineChars="0"/>
              <w:rPr>
                <w:rFonts w:eastAsia="宋体" w:cs="Times New Roman"/>
                <w:sz w:val="20"/>
                <w:szCs w:val="20"/>
              </w:rPr>
            </w:pPr>
            <w:r>
              <w:rPr>
                <w:rFonts w:hint="eastAsia" w:eastAsia="宋体" w:cs="Times New Roman"/>
                <w:sz w:val="20"/>
                <w:szCs w:val="20"/>
              </w:rPr>
              <w:t>Radio link monitoring</w:t>
            </w:r>
          </w:p>
          <w:p>
            <w:pPr>
              <w:pStyle w:val="28"/>
              <w:numPr>
                <w:ilvl w:val="3"/>
                <w:numId w:val="4"/>
              </w:numPr>
              <w:ind w:firstLineChars="0"/>
              <w:rPr>
                <w:rFonts w:eastAsia="宋体" w:cs="Times New Roman"/>
                <w:sz w:val="20"/>
                <w:szCs w:val="20"/>
              </w:rPr>
            </w:pPr>
            <w:r>
              <w:rPr>
                <w:rFonts w:hint="eastAsia" w:eastAsia="宋体" w:cs="Times New Roman"/>
                <w:sz w:val="20"/>
                <w:szCs w:val="20"/>
              </w:rPr>
              <w:t>Link recovery procedures</w:t>
            </w:r>
          </w:p>
          <w:p>
            <w:pPr>
              <w:pStyle w:val="28"/>
              <w:numPr>
                <w:ilvl w:val="3"/>
                <w:numId w:val="4"/>
              </w:numPr>
              <w:ind w:firstLineChars="0"/>
              <w:rPr>
                <w:rFonts w:eastAsia="宋体" w:cs="Times New Roman"/>
                <w:color w:val="auto"/>
                <w:sz w:val="20"/>
                <w:szCs w:val="20"/>
              </w:rPr>
            </w:pPr>
            <w:r>
              <w:rPr>
                <w:rFonts w:hint="eastAsia" w:eastAsia="宋体" w:cs="Times New Roman"/>
                <w:color w:val="auto"/>
                <w:sz w:val="20"/>
                <w:szCs w:val="20"/>
              </w:rPr>
              <w:t>L1-RSRP/SINR measurements for Reporting</w:t>
            </w:r>
          </w:p>
          <w:p>
            <w:pPr>
              <w:pStyle w:val="28"/>
              <w:numPr>
                <w:ilvl w:val="3"/>
                <w:numId w:val="4"/>
              </w:numPr>
              <w:ind w:firstLineChars="0"/>
              <w:rPr>
                <w:rFonts w:eastAsia="宋体" w:cs="Times New Roman"/>
                <w:color w:val="auto"/>
                <w:sz w:val="20"/>
                <w:szCs w:val="20"/>
              </w:rPr>
            </w:pPr>
            <w:r>
              <w:rPr>
                <w:rFonts w:hint="eastAsia" w:eastAsia="宋体" w:cs="Times New Roman"/>
                <w:color w:val="auto"/>
                <w:sz w:val="20"/>
                <w:szCs w:val="20"/>
              </w:rPr>
              <w:t>intra-frequency measurements without measurement gaps for ATG</w:t>
            </w:r>
          </w:p>
          <w:p>
            <w:pPr>
              <w:pStyle w:val="28"/>
              <w:numPr>
                <w:ilvl w:val="3"/>
                <w:numId w:val="4"/>
              </w:numPr>
              <w:ind w:firstLineChars="0"/>
              <w:rPr>
                <w:rFonts w:eastAsia="宋体" w:cs="Times New Roman"/>
                <w:color w:val="auto"/>
                <w:sz w:val="20"/>
                <w:szCs w:val="20"/>
              </w:rPr>
            </w:pPr>
            <w:r>
              <w:rPr>
                <w:rFonts w:hint="eastAsia" w:eastAsia="宋体" w:cs="Times New Roman"/>
                <w:color w:val="auto"/>
                <w:sz w:val="20"/>
                <w:szCs w:val="20"/>
              </w:rPr>
              <w:t>Inter frequency measurements without measurement gaps for ATG</w:t>
            </w:r>
          </w:p>
          <w:p>
            <w:pPr>
              <w:pStyle w:val="28"/>
              <w:numPr>
                <w:ilvl w:val="3"/>
                <w:numId w:val="4"/>
              </w:numPr>
              <w:ind w:firstLineChars="0"/>
              <w:rPr>
                <w:rFonts w:eastAsia="宋体"/>
                <w:color w:val="auto"/>
                <w:sz w:val="20"/>
                <w:szCs w:val="20"/>
                <w:lang w:val="en-GB"/>
              </w:rPr>
            </w:pPr>
            <w:r>
              <w:rPr>
                <w:rFonts w:hint="eastAsia" w:eastAsia="宋体" w:cs="Times New Roman"/>
                <w:color w:val="auto"/>
                <w:sz w:val="20"/>
                <w:szCs w:val="20"/>
              </w:rPr>
              <w:t>CSI-RS based intra-frequency measurements</w:t>
            </w:r>
          </w:p>
          <w:p>
            <w:pPr>
              <w:rPr>
                <w:rFonts w:eastAsiaTheme="minorEastAsia"/>
                <w:b/>
                <w:sz w:val="20"/>
                <w:szCs w:val="20"/>
                <w:u w:val="single"/>
              </w:rPr>
            </w:pPr>
            <w:r>
              <w:rPr>
                <w:rFonts w:eastAsiaTheme="minorEastAsia"/>
                <w:b/>
                <w:sz w:val="20"/>
                <w:szCs w:val="20"/>
                <w:u w:val="single"/>
              </w:rPr>
              <w:t>Agreement: Option 1</w:t>
            </w:r>
          </w:p>
          <w:p>
            <w:pPr>
              <w:rPr>
                <w:b/>
                <w:sz w:val="20"/>
                <w:szCs w:val="20"/>
                <w:highlight w:val="yellow"/>
                <w:u w:val="single"/>
                <w:lang w:eastAsia="ko-KR"/>
              </w:rPr>
            </w:pPr>
          </w:p>
          <w:p>
            <w:pPr>
              <w:rPr>
                <w:b/>
                <w:sz w:val="20"/>
                <w:szCs w:val="20"/>
                <w:highlight w:val="yellow"/>
                <w:u w:val="single"/>
                <w:lang w:eastAsia="ko-KR"/>
              </w:rPr>
            </w:pPr>
            <w:r>
              <w:rPr>
                <w:rFonts w:hint="eastAsia"/>
                <w:b/>
                <w:sz w:val="20"/>
                <w:szCs w:val="20"/>
                <w:u w:val="single"/>
                <w:lang w:eastAsia="ko-KR"/>
              </w:rPr>
              <w:t xml:space="preserve">Issue 4-1-3: </w:t>
            </w:r>
            <w:r>
              <w:rPr>
                <w:b/>
                <w:sz w:val="20"/>
                <w:szCs w:val="20"/>
                <w:u w:val="single"/>
                <w:lang w:eastAsia="ko-KR"/>
              </w:rPr>
              <w:t>Sharing</w:t>
            </w:r>
            <w:r>
              <w:rPr>
                <w:rFonts w:hint="eastAsia"/>
                <w:b/>
                <w:sz w:val="20"/>
                <w:szCs w:val="20"/>
                <w:u w:val="single"/>
                <w:lang w:eastAsia="ko-KR"/>
              </w:rPr>
              <w:t xml:space="preserve"> factor between L1 and L3 measurements if introduced</w:t>
            </w:r>
          </w:p>
          <w:p>
            <w:pPr>
              <w:pStyle w:val="28"/>
              <w:numPr>
                <w:ilvl w:val="0"/>
                <w:numId w:val="4"/>
              </w:numPr>
              <w:ind w:firstLineChars="0"/>
              <w:rPr>
                <w:rFonts w:eastAsia="宋体" w:cs="Times New Roman"/>
                <w:sz w:val="20"/>
                <w:szCs w:val="20"/>
                <w:lang w:val="en-GB"/>
              </w:rPr>
            </w:pPr>
            <w:r>
              <w:rPr>
                <w:rFonts w:hint="eastAsia" w:eastAsia="宋体" w:cs="Times New Roman"/>
                <w:sz w:val="20"/>
                <w:szCs w:val="20"/>
                <w:lang w:val="en-GB"/>
              </w:rPr>
              <w:t xml:space="preserve">Option 1: P value for L1 serving cell measurement is defined as </w:t>
            </w:r>
          </w:p>
          <w:p>
            <w:pPr>
              <w:pStyle w:val="28"/>
              <w:numPr>
                <w:ilvl w:val="1"/>
                <w:numId w:val="4"/>
              </w:numPr>
              <w:ind w:firstLineChars="0"/>
              <w:rPr>
                <w:rFonts w:eastAsia="MS Mincho"/>
                <w:bCs/>
                <w:sz w:val="20"/>
                <w:szCs w:val="20"/>
              </w:rPr>
            </w:pPr>
            <w:r>
              <w:rPr>
                <w:rFonts w:hint="eastAsia" w:eastAsia="MS Mincho"/>
                <w:bCs/>
                <w:sz w:val="20"/>
                <w:szCs w:val="20"/>
              </w:rPr>
              <w:t>P</w:t>
            </w:r>
            <w:r>
              <w:rPr>
                <w:rFonts w:hint="eastAsia" w:eastAsia="MS Mincho"/>
                <w:bCs/>
                <w:sz w:val="20"/>
                <w:szCs w:val="20"/>
                <w:vertAlign w:val="subscript"/>
              </w:rPr>
              <w:t>sharing factor</w:t>
            </w:r>
            <w:r>
              <w:rPr>
                <w:rFonts w:hint="eastAsia" w:eastAsia="MS Mincho"/>
                <w:bCs/>
                <w:sz w:val="20"/>
                <w:szCs w:val="20"/>
              </w:rPr>
              <w:t xml:space="preserve"> * N</w:t>
            </w:r>
            <w:r>
              <w:rPr>
                <w:rFonts w:hint="eastAsia" w:eastAsia="MS Mincho"/>
                <w:bCs/>
                <w:sz w:val="20"/>
                <w:szCs w:val="20"/>
                <w:vertAlign w:val="subscript"/>
              </w:rPr>
              <w:t>total</w:t>
            </w:r>
            <w:r>
              <w:rPr>
                <w:rFonts w:hint="eastAsia" w:eastAsia="MS Mincho"/>
                <w:bCs/>
                <w:sz w:val="20"/>
                <w:szCs w:val="20"/>
              </w:rPr>
              <w:t xml:space="preserve"> / N</w:t>
            </w:r>
            <w:r>
              <w:rPr>
                <w:rFonts w:hint="eastAsia" w:eastAsia="MS Mincho"/>
                <w:bCs/>
                <w:sz w:val="20"/>
                <w:szCs w:val="20"/>
                <w:vertAlign w:val="subscript"/>
              </w:rPr>
              <w:t>outside_MG</w:t>
            </w:r>
            <w:r>
              <w:rPr>
                <w:rFonts w:hint="eastAsia" w:eastAsia="MS Mincho"/>
                <w:bCs/>
                <w:sz w:val="20"/>
                <w:szCs w:val="20"/>
              </w:rPr>
              <w:t xml:space="preserve"> with N</w:t>
            </w:r>
            <w:r>
              <w:rPr>
                <w:rFonts w:hint="eastAsia" w:eastAsia="MS Mincho"/>
                <w:bCs/>
                <w:sz w:val="20"/>
                <w:szCs w:val="20"/>
                <w:vertAlign w:val="subscript"/>
              </w:rPr>
              <w:t>available</w:t>
            </w:r>
            <w:r>
              <w:rPr>
                <w:rFonts w:hint="eastAsia" w:eastAsia="MS Mincho"/>
                <w:bCs/>
                <w:sz w:val="20"/>
                <w:szCs w:val="20"/>
              </w:rPr>
              <w:t xml:space="preserve"> = 0</w:t>
            </w:r>
          </w:p>
          <w:p>
            <w:pPr>
              <w:pStyle w:val="28"/>
              <w:numPr>
                <w:ilvl w:val="1"/>
                <w:numId w:val="4"/>
              </w:numPr>
              <w:ind w:firstLineChars="0"/>
              <w:rPr>
                <w:rFonts w:eastAsia="MS Mincho"/>
                <w:bCs/>
                <w:sz w:val="20"/>
                <w:szCs w:val="20"/>
              </w:rPr>
            </w:pPr>
            <w:r>
              <w:rPr>
                <w:rFonts w:hint="eastAsia" w:eastAsia="MS Mincho"/>
                <w:bCs/>
                <w:sz w:val="20"/>
                <w:szCs w:val="20"/>
              </w:rPr>
              <w:t>N</w:t>
            </w:r>
            <w:r>
              <w:rPr>
                <w:rFonts w:hint="eastAsia" w:eastAsia="MS Mincho"/>
                <w:bCs/>
                <w:sz w:val="20"/>
                <w:szCs w:val="20"/>
                <w:vertAlign w:val="subscript"/>
              </w:rPr>
              <w:t>total</w:t>
            </w:r>
            <w:r>
              <w:rPr>
                <w:rFonts w:hint="eastAsia" w:eastAsia="MS Mincho"/>
                <w:bCs/>
                <w:sz w:val="20"/>
                <w:szCs w:val="20"/>
              </w:rPr>
              <w:t xml:space="preserve"> / N</w:t>
            </w:r>
            <w:r>
              <w:rPr>
                <w:rFonts w:hint="eastAsia" w:eastAsia="MS Mincho"/>
                <w:bCs/>
                <w:sz w:val="20"/>
                <w:szCs w:val="20"/>
                <w:vertAlign w:val="subscript"/>
              </w:rPr>
              <w:t>available</w:t>
            </w:r>
            <w:r>
              <w:rPr>
                <w:rFonts w:hint="eastAsia" w:eastAsia="MS Mincho"/>
                <w:bCs/>
                <w:sz w:val="20"/>
                <w:szCs w:val="20"/>
              </w:rPr>
              <w:t xml:space="preserve"> with N</w:t>
            </w:r>
            <w:r>
              <w:rPr>
                <w:rFonts w:hint="eastAsia" w:eastAsia="MS Mincho"/>
                <w:bCs/>
                <w:sz w:val="20"/>
                <w:szCs w:val="20"/>
                <w:vertAlign w:val="subscript"/>
              </w:rPr>
              <w:t>available</w:t>
            </w:r>
            <w:r>
              <w:rPr>
                <w:rFonts w:hint="eastAsia" w:eastAsia="MS Mincho"/>
                <w:bCs/>
                <w:sz w:val="20"/>
                <w:szCs w:val="20"/>
              </w:rPr>
              <w:t xml:space="preserve"> &gt; 0</w:t>
            </w:r>
          </w:p>
          <w:p>
            <w:pPr>
              <w:pStyle w:val="28"/>
              <w:numPr>
                <w:ilvl w:val="1"/>
                <w:numId w:val="4"/>
              </w:numPr>
              <w:ind w:firstLineChars="0"/>
              <w:rPr>
                <w:rFonts w:eastAsia="MS Mincho"/>
                <w:bCs/>
                <w:sz w:val="20"/>
                <w:szCs w:val="20"/>
              </w:rPr>
            </w:pPr>
            <w:r>
              <w:rPr>
                <w:rFonts w:hint="eastAsia" w:eastAsia="MS Mincho"/>
                <w:bCs/>
                <w:sz w:val="20"/>
                <w:szCs w:val="20"/>
              </w:rPr>
              <w:t>For a window W of duration max(T</w:t>
            </w:r>
            <w:r>
              <w:rPr>
                <w:rFonts w:hint="eastAsia" w:eastAsia="MS Mincho"/>
                <w:bCs/>
                <w:sz w:val="20"/>
                <w:szCs w:val="20"/>
                <w:vertAlign w:val="subscript"/>
              </w:rPr>
              <w:t>L1</w:t>
            </w:r>
            <w:r>
              <w:rPr>
                <w:rFonts w:hint="eastAsia" w:eastAsia="MS Mincho"/>
                <w:bCs/>
                <w:sz w:val="20"/>
                <w:szCs w:val="20"/>
              </w:rPr>
              <w:t>,  MGRP</w:t>
            </w:r>
            <w:r>
              <w:rPr>
                <w:rFonts w:hint="eastAsia" w:eastAsia="MS Mincho"/>
                <w:bCs/>
                <w:sz w:val="20"/>
                <w:szCs w:val="20"/>
                <w:vertAlign w:val="subscript"/>
              </w:rPr>
              <w:t>max</w:t>
            </w:r>
            <w:r>
              <w:rPr>
                <w:rFonts w:hint="eastAsia" w:eastAsia="MS Mincho"/>
                <w:bCs/>
                <w:sz w:val="20"/>
                <w:szCs w:val="20"/>
              </w:rPr>
              <w:t>), where MGRP</w:t>
            </w:r>
            <w:r>
              <w:rPr>
                <w:rFonts w:hint="eastAsia" w:eastAsia="MS Mincho"/>
                <w:bCs/>
                <w:sz w:val="20"/>
                <w:szCs w:val="20"/>
                <w:vertAlign w:val="subscript"/>
              </w:rPr>
              <w:t>max</w:t>
            </w:r>
            <w:r>
              <w:rPr>
                <w:rFonts w:hint="eastAsia" w:eastAsia="MS Mincho"/>
                <w:bCs/>
                <w:sz w:val="20"/>
                <w:szCs w:val="20"/>
              </w:rPr>
              <w:t xml:space="preserve"> is the maximum MGRP across all configured per-UE measurement gaps, and starting at the beginning of any  resource occasion: </w:t>
            </w:r>
          </w:p>
          <w:p>
            <w:pPr>
              <w:pStyle w:val="28"/>
              <w:numPr>
                <w:ilvl w:val="1"/>
                <w:numId w:val="4"/>
              </w:numPr>
              <w:ind w:firstLineChars="0"/>
              <w:rPr>
                <w:rFonts w:eastAsia="MS Mincho"/>
                <w:bCs/>
                <w:sz w:val="20"/>
                <w:szCs w:val="20"/>
              </w:rPr>
            </w:pPr>
            <w:r>
              <w:rPr>
                <w:rFonts w:hint="eastAsia" w:eastAsia="MS Mincho"/>
                <w:bCs/>
                <w:sz w:val="20"/>
                <w:szCs w:val="20"/>
              </w:rPr>
              <w:t>N</w:t>
            </w:r>
            <w:r>
              <w:rPr>
                <w:rFonts w:hint="eastAsia" w:eastAsia="MS Mincho"/>
                <w:bCs/>
                <w:sz w:val="20"/>
                <w:szCs w:val="20"/>
                <w:vertAlign w:val="subscript"/>
              </w:rPr>
              <w:t>total</w:t>
            </w:r>
            <w:r>
              <w:rPr>
                <w:rFonts w:hint="eastAsia" w:eastAsia="MS Mincho"/>
                <w:bCs/>
                <w:sz w:val="20"/>
                <w:szCs w:val="20"/>
              </w:rPr>
              <w:t xml:space="preserve"> is the total number of L1-measurement-RS resource occasions within the window, including those overlapped with measurement gap occasions or SMTC occasions within the window W, and</w:t>
            </w:r>
          </w:p>
          <w:p>
            <w:pPr>
              <w:pStyle w:val="28"/>
              <w:numPr>
                <w:ilvl w:val="1"/>
                <w:numId w:val="4"/>
              </w:numPr>
              <w:ind w:firstLineChars="0"/>
              <w:rPr>
                <w:rFonts w:eastAsia="MS Mincho"/>
                <w:bCs/>
                <w:sz w:val="20"/>
                <w:szCs w:val="20"/>
              </w:rPr>
            </w:pPr>
            <w:r>
              <w:rPr>
                <w:rFonts w:hint="eastAsia" w:eastAsia="MS Mincho"/>
                <w:bCs/>
                <w:sz w:val="20"/>
                <w:szCs w:val="20"/>
              </w:rPr>
              <w:t>N</w:t>
            </w:r>
            <w:r>
              <w:rPr>
                <w:rFonts w:hint="eastAsia" w:eastAsia="MS Mincho"/>
                <w:bCs/>
                <w:sz w:val="20"/>
                <w:szCs w:val="20"/>
                <w:vertAlign w:val="subscript"/>
              </w:rPr>
              <w:t>outside_MG</w:t>
            </w:r>
            <w:r>
              <w:rPr>
                <w:rFonts w:hint="eastAsia" w:eastAsia="MS Mincho"/>
                <w:bCs/>
                <w:sz w:val="20"/>
                <w:szCs w:val="20"/>
              </w:rPr>
              <w:t xml:space="preserve"> is the number of L1-measurement-RS resource occasions that are not overlapped with any measurement gap occasion within the window W</w:t>
            </w:r>
          </w:p>
          <w:p>
            <w:pPr>
              <w:pStyle w:val="28"/>
              <w:numPr>
                <w:ilvl w:val="1"/>
                <w:numId w:val="4"/>
              </w:numPr>
              <w:ind w:firstLineChars="0"/>
              <w:rPr>
                <w:rFonts w:eastAsia="MS Mincho"/>
                <w:bCs/>
                <w:sz w:val="20"/>
                <w:szCs w:val="20"/>
              </w:rPr>
            </w:pPr>
            <w:r>
              <w:rPr>
                <w:rFonts w:hint="eastAsia" w:eastAsia="MS Mincho"/>
                <w:bCs/>
                <w:sz w:val="20"/>
                <w:szCs w:val="20"/>
              </w:rPr>
              <w:t>N</w:t>
            </w:r>
            <w:r>
              <w:rPr>
                <w:rFonts w:hint="eastAsia" w:eastAsia="MS Mincho"/>
                <w:bCs/>
                <w:sz w:val="20"/>
                <w:szCs w:val="20"/>
                <w:vertAlign w:val="subscript"/>
              </w:rPr>
              <w:t>available</w:t>
            </w:r>
            <w:r>
              <w:rPr>
                <w:rFonts w:hint="eastAsia" w:eastAsia="MS Mincho"/>
                <w:bCs/>
                <w:sz w:val="20"/>
                <w:szCs w:val="20"/>
              </w:rPr>
              <w:t xml:space="preserve"> is </w:t>
            </w:r>
          </w:p>
          <w:p>
            <w:pPr>
              <w:pStyle w:val="28"/>
              <w:numPr>
                <w:ilvl w:val="2"/>
                <w:numId w:val="4"/>
              </w:numPr>
              <w:ind w:firstLineChars="0"/>
              <w:rPr>
                <w:rFonts w:eastAsia="MS Mincho"/>
                <w:bCs/>
                <w:sz w:val="20"/>
                <w:szCs w:val="20"/>
              </w:rPr>
            </w:pPr>
            <w:r>
              <w:rPr>
                <w:rFonts w:hint="eastAsia" w:eastAsia="MS Mincho"/>
                <w:bCs/>
                <w:sz w:val="20"/>
                <w:szCs w:val="20"/>
              </w:rPr>
              <w:t xml:space="preserve">the number of L1-measurement-RS resource occasions that are not overlapped with any measurement gap occasion nor any SMTC occasion within the window W, and </w:t>
            </w:r>
          </w:p>
          <w:p>
            <w:pPr>
              <w:pStyle w:val="28"/>
              <w:numPr>
                <w:ilvl w:val="2"/>
                <w:numId w:val="4"/>
              </w:numPr>
              <w:ind w:firstLineChars="0"/>
              <w:rPr>
                <w:rFonts w:eastAsia="MS Mincho"/>
                <w:bCs/>
                <w:sz w:val="20"/>
                <w:szCs w:val="20"/>
              </w:rPr>
            </w:pPr>
            <w:r>
              <w:rPr>
                <w:rFonts w:hint="eastAsia" w:eastAsia="MS Mincho"/>
                <w:bCs/>
                <w:sz w:val="20"/>
                <w:szCs w:val="20"/>
              </w:rPr>
              <w:t>same as N</w:t>
            </w:r>
            <w:r>
              <w:rPr>
                <w:rFonts w:hint="eastAsia" w:eastAsia="MS Mincho"/>
                <w:bCs/>
                <w:sz w:val="20"/>
                <w:szCs w:val="20"/>
                <w:vertAlign w:val="subscript"/>
              </w:rPr>
              <w:t>outside_MG</w:t>
            </w:r>
            <w:r>
              <w:rPr>
                <w:rFonts w:hint="eastAsia" w:eastAsia="MS Mincho"/>
                <w:bCs/>
                <w:sz w:val="20"/>
                <w:szCs w:val="20"/>
              </w:rPr>
              <w:t xml:space="preserve">, otherwise </w:t>
            </w:r>
          </w:p>
          <w:p>
            <w:pPr>
              <w:pStyle w:val="28"/>
              <w:numPr>
                <w:ilvl w:val="1"/>
                <w:numId w:val="4"/>
              </w:numPr>
              <w:ind w:firstLineChars="0"/>
              <w:rPr>
                <w:rFonts w:eastAsia="MS Mincho"/>
                <w:bCs/>
                <w:sz w:val="20"/>
                <w:szCs w:val="20"/>
              </w:rPr>
            </w:pPr>
            <w:r>
              <w:rPr>
                <w:rFonts w:hint="eastAsia" w:eastAsia="MS Mincho"/>
                <w:bCs/>
                <w:sz w:val="20"/>
                <w:szCs w:val="20"/>
              </w:rPr>
              <w:t>T</w:t>
            </w:r>
            <w:r>
              <w:rPr>
                <w:rFonts w:hint="eastAsia" w:eastAsia="MS Mincho"/>
                <w:bCs/>
                <w:sz w:val="20"/>
                <w:szCs w:val="20"/>
                <w:vertAlign w:val="subscript"/>
              </w:rPr>
              <w:t>L1</w:t>
            </w:r>
            <w:r>
              <w:rPr>
                <w:rFonts w:hint="eastAsia" w:eastAsia="MS Mincho"/>
                <w:bCs/>
                <w:sz w:val="20"/>
                <w:szCs w:val="20"/>
              </w:rPr>
              <w:t xml:space="preserve"> is periodicity of the target L1-measurement-RS</w:t>
            </w:r>
          </w:p>
          <w:p>
            <w:pPr>
              <w:pStyle w:val="28"/>
              <w:numPr>
                <w:ilvl w:val="1"/>
                <w:numId w:val="4"/>
              </w:numPr>
              <w:ind w:firstLineChars="0"/>
              <w:rPr>
                <w:rFonts w:eastAsia="MS Mincho"/>
                <w:bCs/>
                <w:sz w:val="20"/>
                <w:szCs w:val="20"/>
              </w:rPr>
            </w:pPr>
            <w:r>
              <w:rPr>
                <w:rFonts w:hint="eastAsia" w:eastAsia="MS Mincho"/>
                <w:bCs/>
                <w:sz w:val="20"/>
                <w:szCs w:val="20"/>
              </w:rPr>
              <w:t>P</w:t>
            </w:r>
            <w:r>
              <w:rPr>
                <w:rFonts w:hint="eastAsia" w:eastAsia="MS Mincho"/>
                <w:bCs/>
                <w:sz w:val="20"/>
                <w:szCs w:val="20"/>
                <w:vertAlign w:val="subscript"/>
              </w:rPr>
              <w:t>sharing factor</w:t>
            </w:r>
            <w:r>
              <w:rPr>
                <w:rFonts w:hint="eastAsia" w:eastAsia="MS Mincho"/>
                <w:bCs/>
                <w:sz w:val="20"/>
                <w:szCs w:val="20"/>
              </w:rPr>
              <w:t xml:space="preserve"> = [3].</w:t>
            </w:r>
          </w:p>
          <w:p>
            <w:pPr>
              <w:pStyle w:val="28"/>
              <w:numPr>
                <w:ilvl w:val="0"/>
                <w:numId w:val="4"/>
              </w:numPr>
              <w:ind w:firstLineChars="0"/>
              <w:rPr>
                <w:rFonts w:eastAsia="宋体" w:cs="Times New Roman"/>
                <w:sz w:val="20"/>
                <w:szCs w:val="20"/>
                <w:lang w:val="en-GB"/>
              </w:rPr>
            </w:pPr>
            <w:r>
              <w:rPr>
                <w:rFonts w:hint="eastAsia" w:eastAsia="宋体" w:cs="Times New Roman"/>
                <w:sz w:val="20"/>
                <w:szCs w:val="20"/>
                <w:lang w:val="en-GB"/>
              </w:rPr>
              <w:t xml:space="preserve">Option 2: P value for L3 intra-frequency measurement without gap and inter-frequency measurement without gap is defined as: </w:t>
            </w:r>
          </w:p>
          <w:p>
            <w:pPr>
              <w:pStyle w:val="28"/>
              <w:numPr>
                <w:ilvl w:val="1"/>
                <w:numId w:val="4"/>
              </w:numPr>
              <w:ind w:firstLineChars="0"/>
              <w:rPr>
                <w:rFonts w:eastAsia="MS Mincho"/>
                <w:bCs/>
                <w:sz w:val="20"/>
                <w:szCs w:val="20"/>
              </w:rPr>
            </w:pPr>
            <w:r>
              <w:rPr>
                <w:rFonts w:hint="eastAsia" w:eastAsia="MS Mincho"/>
                <w:bCs/>
                <w:sz w:val="20"/>
                <w:szCs w:val="20"/>
              </w:rPr>
              <w:t xml:space="preserve">P=1, </w:t>
            </w:r>
          </w:p>
          <w:p>
            <w:pPr>
              <w:pStyle w:val="28"/>
              <w:numPr>
                <w:ilvl w:val="2"/>
                <w:numId w:val="4"/>
              </w:numPr>
              <w:ind w:firstLineChars="0"/>
              <w:rPr>
                <w:rFonts w:eastAsia="MS Mincho"/>
                <w:bCs/>
                <w:sz w:val="20"/>
                <w:szCs w:val="20"/>
              </w:rPr>
            </w:pPr>
            <w:r>
              <w:rPr>
                <w:rFonts w:hint="eastAsia" w:eastAsia="MS Mincho"/>
                <w:bCs/>
                <w:sz w:val="20"/>
                <w:szCs w:val="20"/>
              </w:rPr>
              <w:t>if only serving cell are measured (for intra-frequency measurement)</w:t>
            </w:r>
          </w:p>
          <w:p>
            <w:pPr>
              <w:pStyle w:val="28"/>
              <w:numPr>
                <w:ilvl w:val="2"/>
                <w:numId w:val="4"/>
              </w:numPr>
              <w:ind w:firstLineChars="0"/>
              <w:rPr>
                <w:rFonts w:eastAsia="MS Mincho"/>
                <w:bCs/>
                <w:sz w:val="20"/>
                <w:szCs w:val="20"/>
              </w:rPr>
            </w:pPr>
            <w:r>
              <w:rPr>
                <w:rFonts w:hint="eastAsia" w:eastAsia="MS Mincho"/>
                <w:bCs/>
                <w:sz w:val="20"/>
                <w:szCs w:val="20"/>
              </w:rPr>
              <w:t xml:space="preserve">if all of the reference signals configured for RLM, BFD, CBD or L1-RSRP for beam reporting outside measurement gap are not fully overlapped by SMTC occasions, or </w:t>
            </w:r>
          </w:p>
          <w:p>
            <w:pPr>
              <w:pStyle w:val="28"/>
              <w:numPr>
                <w:ilvl w:val="2"/>
                <w:numId w:val="4"/>
              </w:numPr>
              <w:ind w:firstLineChars="0"/>
              <w:rPr>
                <w:rFonts w:eastAsia="MS Mincho"/>
                <w:bCs/>
                <w:color w:val="auto"/>
                <w:sz w:val="20"/>
                <w:szCs w:val="20"/>
                <w:highlight w:val="none"/>
              </w:rPr>
            </w:pPr>
            <w:r>
              <w:rPr>
                <w:rFonts w:hint="eastAsia" w:eastAsia="MS Mincho"/>
                <w:bCs/>
                <w:sz w:val="20"/>
                <w:szCs w:val="20"/>
              </w:rPr>
              <w:t xml:space="preserve">if all of the reference signal configured for RLM, BFD, CBD or L1-RSRP for beam reporting outside measurement gap and fully-overlapped by  SMTC occasions are not overlapped </w:t>
            </w:r>
            <w:r>
              <w:rPr>
                <w:rFonts w:hint="eastAsia" w:eastAsia="MS Mincho"/>
                <w:bCs/>
                <w:color w:val="auto"/>
                <w:sz w:val="20"/>
                <w:szCs w:val="20"/>
                <w:highlight w:val="none"/>
              </w:rPr>
              <w:t>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p>
          <w:p>
            <w:pPr>
              <w:pStyle w:val="28"/>
              <w:numPr>
                <w:ilvl w:val="1"/>
                <w:numId w:val="4"/>
              </w:numPr>
              <w:ind w:firstLineChars="0"/>
              <w:rPr>
                <w:b/>
                <w:color w:val="auto"/>
                <w:sz w:val="20"/>
                <w:szCs w:val="20"/>
                <w:highlight w:val="none"/>
                <w:u w:val="single"/>
                <w:lang w:eastAsia="ko-KR"/>
              </w:rPr>
            </w:pPr>
            <w:r>
              <w:rPr>
                <w:rFonts w:hint="eastAsia" w:eastAsia="MS Mincho"/>
                <w:bCs/>
                <w:color w:val="auto"/>
                <w:sz w:val="20"/>
                <w:szCs w:val="20"/>
                <w:highlight w:val="none"/>
              </w:rPr>
              <w:t>P = 1.5 (P</w:t>
            </w:r>
            <w:r>
              <w:rPr>
                <w:rFonts w:hint="eastAsia" w:eastAsia="MS Mincho"/>
                <w:bCs/>
                <w:color w:val="auto"/>
                <w:sz w:val="20"/>
                <w:szCs w:val="20"/>
                <w:highlight w:val="none"/>
                <w:vertAlign w:val="subscript"/>
              </w:rPr>
              <w:t>sharing factor</w:t>
            </w:r>
            <w:r>
              <w:rPr>
                <w:rFonts w:hint="eastAsia" w:eastAsia="MS Mincho"/>
                <w:bCs/>
                <w:color w:val="auto"/>
                <w:sz w:val="20"/>
                <w:szCs w:val="20"/>
                <w:highlight w:val="none"/>
              </w:rPr>
              <w:t>/P</w:t>
            </w:r>
            <w:r>
              <w:rPr>
                <w:rFonts w:hint="eastAsia" w:eastAsia="MS Mincho"/>
                <w:bCs/>
                <w:color w:val="auto"/>
                <w:sz w:val="20"/>
                <w:szCs w:val="20"/>
                <w:highlight w:val="none"/>
                <w:vertAlign w:val="subscript"/>
              </w:rPr>
              <w:t>sharing factor</w:t>
            </w:r>
            <w:r>
              <w:rPr>
                <w:rFonts w:hint="eastAsia" w:eastAsia="MS Mincho"/>
                <w:bCs/>
                <w:color w:val="auto"/>
                <w:sz w:val="20"/>
                <w:szCs w:val="20"/>
                <w:highlight w:val="none"/>
              </w:rPr>
              <w:t>-1), otherwise.</w:t>
            </w:r>
          </w:p>
          <w:p>
            <w:pPr>
              <w:rPr>
                <w:rFonts w:eastAsiaTheme="minorEastAsia"/>
                <w:b/>
                <w:bCs/>
                <w:iCs/>
                <w:sz w:val="20"/>
                <w:szCs w:val="20"/>
              </w:rPr>
            </w:pPr>
            <w:r>
              <w:rPr>
                <w:rFonts w:hint="eastAsia" w:eastAsiaTheme="minorEastAsia"/>
                <w:b/>
                <w:bCs/>
                <w:iCs/>
                <w:sz w:val="20"/>
                <w:szCs w:val="20"/>
              </w:rPr>
              <w:t>Agreement</w:t>
            </w:r>
            <w:r>
              <w:rPr>
                <w:rFonts w:eastAsiaTheme="minorEastAsia"/>
                <w:b/>
                <w:bCs/>
                <w:iCs/>
                <w:sz w:val="20"/>
                <w:szCs w:val="20"/>
              </w:rPr>
              <w:t>: Option 1+Option 2</w:t>
            </w:r>
          </w:p>
          <w:p>
            <w:pPr>
              <w:rPr>
                <w:b/>
                <w:sz w:val="20"/>
                <w:szCs w:val="20"/>
                <w:u w:val="single"/>
                <w:lang w:eastAsia="ko-KR"/>
              </w:rPr>
            </w:pPr>
          </w:p>
          <w:p>
            <w:pPr>
              <w:rPr>
                <w:b/>
                <w:sz w:val="20"/>
                <w:szCs w:val="20"/>
                <w:u w:val="single"/>
                <w:lang w:eastAsia="ko-KR"/>
              </w:rPr>
            </w:pPr>
            <w:r>
              <w:rPr>
                <w:rFonts w:hint="eastAsia"/>
                <w:b/>
                <w:sz w:val="20"/>
                <w:szCs w:val="20"/>
                <w:u w:val="single"/>
                <w:lang w:eastAsia="ko-KR"/>
              </w:rPr>
              <w:t>Issue 4-1-4: Phase antenna array impact for scheduling restriction</w:t>
            </w:r>
          </w:p>
          <w:p>
            <w:pPr>
              <w:pStyle w:val="28"/>
              <w:numPr>
                <w:ilvl w:val="0"/>
                <w:numId w:val="4"/>
              </w:numPr>
              <w:ind w:firstLineChars="0"/>
              <w:rPr>
                <w:rFonts w:eastAsia="宋体" w:cs="Times New Roman"/>
                <w:sz w:val="20"/>
                <w:szCs w:val="20"/>
                <w:lang w:val="en-GB" w:eastAsia="ko-KR"/>
              </w:rPr>
            </w:pPr>
            <w:r>
              <w:rPr>
                <w:rFonts w:hint="eastAsia" w:eastAsia="宋体" w:cs="Times New Roman"/>
                <w:sz w:val="20"/>
                <w:szCs w:val="20"/>
              </w:rPr>
              <w:t>Option 1:</w:t>
            </w:r>
            <w:r>
              <w:rPr>
                <w:rFonts w:hint="eastAsia" w:eastAsia="宋体" w:cs="Times New Roman"/>
                <w:sz w:val="20"/>
                <w:szCs w:val="20"/>
                <w:lang w:val="en-GB"/>
              </w:rPr>
              <w:t xml:space="preserve"> </w:t>
            </w:r>
          </w:p>
          <w:p>
            <w:pPr>
              <w:pStyle w:val="28"/>
              <w:numPr>
                <w:ilvl w:val="1"/>
                <w:numId w:val="4"/>
              </w:numPr>
              <w:ind w:firstLineChars="0"/>
              <w:rPr>
                <w:rFonts w:eastAsia="宋体" w:cs="Times New Roman"/>
                <w:sz w:val="20"/>
                <w:szCs w:val="20"/>
              </w:rPr>
            </w:pPr>
            <w:r>
              <w:rPr>
                <w:rFonts w:eastAsia="宋体" w:cs="Times New Roman"/>
                <w:sz w:val="20"/>
                <w:szCs w:val="20"/>
              </w:rPr>
              <w:t>w</w:t>
            </w:r>
            <w:r>
              <w:rPr>
                <w:rFonts w:eastAsia="宋体" w:cs="Times New Roman"/>
                <w:sz w:val="20"/>
                <w:szCs w:val="20"/>
                <w:lang w:val="en-GB" w:eastAsia="en-GB"/>
              </w:rPr>
              <w:t xml:space="preserve">hen the </w:t>
            </w:r>
            <w:r>
              <w:rPr>
                <w:rFonts w:eastAsia="宋体" w:cs="Times New Roman"/>
                <w:sz w:val="20"/>
                <w:szCs w:val="20"/>
              </w:rPr>
              <w:t>ATG UE with phase array antenna</w:t>
            </w:r>
            <w:r>
              <w:rPr>
                <w:rFonts w:eastAsia="宋体" w:cs="Times New Roman"/>
                <w:sz w:val="20"/>
                <w:szCs w:val="20"/>
                <w:lang w:val="en-GB" w:eastAsia="en-GB"/>
              </w:rPr>
              <w:t xml:space="preserve"> performs intra-frequency </w:t>
            </w:r>
            <w:r>
              <w:rPr>
                <w:rFonts w:eastAsia="宋体" w:cs="Times New Roman"/>
                <w:sz w:val="20"/>
                <w:szCs w:val="20"/>
              </w:rPr>
              <w:t xml:space="preserve">neighbouring cell </w:t>
            </w:r>
            <w:r>
              <w:rPr>
                <w:rFonts w:eastAsia="宋体" w:cs="Times New Roman"/>
                <w:sz w:val="20"/>
                <w:szCs w:val="20"/>
                <w:lang w:val="en-GB" w:eastAsia="en-GB"/>
              </w:rPr>
              <w:t>measurements</w:t>
            </w:r>
            <w:r>
              <w:rPr>
                <w:rFonts w:eastAsia="宋体" w:cs="Times New Roman"/>
                <w:sz w:val="20"/>
                <w:szCs w:val="20"/>
              </w:rPr>
              <w:t xml:space="preserve"> in TDD band</w:t>
            </w:r>
            <w:r>
              <w:rPr>
                <w:rFonts w:eastAsia="宋体" w:cs="Times New Roman"/>
                <w:sz w:val="20"/>
                <w:szCs w:val="20"/>
                <w:lang w:val="en-GB" w:eastAsia="en-GB"/>
              </w:rPr>
              <w:t>, the following restrictions apply due to SS-RSRP or SS-SINR measurement</w:t>
            </w:r>
            <w:r>
              <w:rPr>
                <w:rFonts w:eastAsia="宋体" w:cs="Times New Roman"/>
                <w:sz w:val="20"/>
                <w:szCs w:val="20"/>
              </w:rPr>
              <w:t>:</w:t>
            </w:r>
          </w:p>
          <w:p>
            <w:pPr>
              <w:pStyle w:val="28"/>
              <w:numPr>
                <w:ilvl w:val="2"/>
                <w:numId w:val="4"/>
              </w:numPr>
              <w:ind w:firstLineChars="0"/>
              <w:rPr>
                <w:rFonts w:eastAsia="宋体" w:cs="Times New Roman"/>
                <w:sz w:val="20"/>
                <w:szCs w:val="20"/>
              </w:rPr>
            </w:pPr>
            <w:r>
              <w:rPr>
                <w:rFonts w:eastAsia="宋体" w:cs="Times New Roman"/>
                <w:sz w:val="20"/>
                <w:szCs w:val="20"/>
              </w:rPr>
              <w:t xml:space="preserve">If </w:t>
            </w:r>
            <w:r>
              <w:rPr>
                <w:rFonts w:eastAsia="宋体" w:cs="Times New Roman"/>
                <w:sz w:val="20"/>
                <w:szCs w:val="20"/>
                <w:lang w:eastAsia="ja-JP"/>
              </w:rPr>
              <w:t>deriveSSB-IndexFromCell</w:t>
            </w:r>
            <w:r>
              <w:rPr>
                <w:rFonts w:eastAsia="宋体" w:cs="Times New Roman"/>
                <w:sz w:val="20"/>
                <w:szCs w:val="20"/>
              </w:rPr>
              <w:t xml:space="preserve">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pPr>
              <w:pStyle w:val="28"/>
              <w:numPr>
                <w:ilvl w:val="2"/>
                <w:numId w:val="4"/>
              </w:numPr>
              <w:ind w:firstLineChars="0"/>
              <w:rPr>
                <w:rFonts w:eastAsia="宋体" w:cs="Times New Roman"/>
                <w:sz w:val="20"/>
                <w:szCs w:val="20"/>
              </w:rPr>
            </w:pPr>
            <w:r>
              <w:rPr>
                <w:rFonts w:eastAsia="宋体" w:cs="Times New Roman"/>
                <w:sz w:val="20"/>
                <w:szCs w:val="20"/>
              </w:rPr>
              <w:t xml:space="preserve">If </w:t>
            </w:r>
            <w:r>
              <w:rPr>
                <w:rFonts w:eastAsia="宋体" w:cs="Times New Roman"/>
                <w:sz w:val="20"/>
                <w:szCs w:val="20"/>
                <w:lang w:eastAsia="ja-JP"/>
              </w:rPr>
              <w:t>deriveSSB-IndexFromCell</w:t>
            </w:r>
            <w:r>
              <w:rPr>
                <w:rFonts w:eastAsia="宋体" w:cs="Times New Roman"/>
                <w:sz w:val="20"/>
                <w:szCs w:val="20"/>
              </w:rPr>
              <w:t xml:space="preserve"> is </w:t>
            </w:r>
            <w:r>
              <w:rPr>
                <w:rFonts w:eastAsia="宋体" w:cs="Times New Roman"/>
                <w:sz w:val="20"/>
                <w:szCs w:val="20"/>
                <w:lang w:eastAsia="ko-KR"/>
              </w:rPr>
              <w:t xml:space="preserve">not </w:t>
            </w:r>
            <w:r>
              <w:rPr>
                <w:rFonts w:eastAsia="宋体" w:cs="Times New Roman"/>
                <w:sz w:val="20"/>
                <w:szCs w:val="20"/>
              </w:rPr>
              <w:t>enabled, the UE is not expected to receive PDCCH/PDSCH/TRS/CSI-RS for CQI on all symbols within SMTC window duration. If the high layer in TS 38.331 [2] signalling of smtc2 is configured, the SMTC periodicity follows smtc2; Otherwise SMTC periodicity follows smtc1.</w:t>
            </w:r>
          </w:p>
          <w:p>
            <w:pPr>
              <w:pStyle w:val="28"/>
              <w:numPr>
                <w:ilvl w:val="1"/>
                <w:numId w:val="4"/>
              </w:numPr>
              <w:ind w:firstLineChars="0"/>
              <w:rPr>
                <w:rFonts w:eastAsia="宋体" w:cs="Times New Roman"/>
                <w:sz w:val="20"/>
                <w:szCs w:val="20"/>
              </w:rPr>
            </w:pPr>
            <w:r>
              <w:rPr>
                <w:rFonts w:eastAsia="宋体" w:cs="Times New Roman"/>
                <w:sz w:val="20"/>
                <w:szCs w:val="20"/>
                <w:lang w:val="en-GB" w:eastAsia="en-GB"/>
              </w:rPr>
              <w:t>When the</w:t>
            </w:r>
            <w:r>
              <w:rPr>
                <w:rFonts w:eastAsia="宋体" w:cs="Times New Roman"/>
                <w:sz w:val="20"/>
                <w:szCs w:val="20"/>
              </w:rPr>
              <w:t xml:space="preserve"> ATG UE with phase array antenna</w:t>
            </w:r>
            <w:r>
              <w:rPr>
                <w:rFonts w:eastAsia="宋体" w:cs="Times New Roman"/>
                <w:sz w:val="20"/>
                <w:szCs w:val="20"/>
                <w:lang w:val="en-GB" w:eastAsia="en-GB"/>
              </w:rPr>
              <w:t xml:space="preserve"> performs intra-frequency </w:t>
            </w:r>
            <w:r>
              <w:rPr>
                <w:rFonts w:eastAsia="宋体" w:cs="Times New Roman"/>
                <w:sz w:val="20"/>
                <w:szCs w:val="20"/>
              </w:rPr>
              <w:t xml:space="preserve">neighbouring cell </w:t>
            </w:r>
            <w:r>
              <w:rPr>
                <w:rFonts w:eastAsia="宋体" w:cs="Times New Roman"/>
                <w:sz w:val="20"/>
                <w:szCs w:val="20"/>
                <w:lang w:val="en-GB" w:eastAsia="en-GB"/>
              </w:rPr>
              <w:t>measurements</w:t>
            </w:r>
            <w:r>
              <w:rPr>
                <w:rFonts w:eastAsia="宋体" w:cs="Times New Roman"/>
                <w:sz w:val="20"/>
                <w:szCs w:val="20"/>
              </w:rPr>
              <w:t xml:space="preserve"> in TDD band</w:t>
            </w:r>
            <w:r>
              <w:rPr>
                <w:rFonts w:eastAsia="宋体" w:cs="Times New Roman"/>
                <w:sz w:val="20"/>
                <w:szCs w:val="20"/>
                <w:lang w:val="en-GB" w:eastAsia="en-GB"/>
              </w:rPr>
              <w:t xml:space="preserve">, the following restrictions apply due to </w:t>
            </w:r>
            <w:r>
              <w:rPr>
                <w:rFonts w:eastAsia="宋体" w:cs="Times New Roman"/>
                <w:sz w:val="20"/>
                <w:szCs w:val="20"/>
                <w:lang w:eastAsia="en-GB"/>
              </w:rPr>
              <w:t>SS-RSRQ</w:t>
            </w:r>
            <w:r>
              <w:rPr>
                <w:rFonts w:eastAsia="宋体" w:cs="Times New Roman"/>
                <w:sz w:val="20"/>
                <w:szCs w:val="20"/>
                <w:lang w:val="en-GB" w:eastAsia="en-GB"/>
              </w:rPr>
              <w:t xml:space="preserve"> measurement</w:t>
            </w:r>
            <w:r>
              <w:rPr>
                <w:rFonts w:eastAsia="宋体" w:cs="Times New Roman"/>
                <w:sz w:val="20"/>
                <w:szCs w:val="20"/>
              </w:rPr>
              <w:t>:</w:t>
            </w:r>
          </w:p>
          <w:p>
            <w:pPr>
              <w:pStyle w:val="28"/>
              <w:numPr>
                <w:ilvl w:val="2"/>
                <w:numId w:val="4"/>
              </w:numPr>
              <w:ind w:firstLineChars="0"/>
              <w:rPr>
                <w:rFonts w:eastAsia="宋体" w:cs="Times New Roman"/>
                <w:sz w:val="20"/>
                <w:szCs w:val="20"/>
              </w:rPr>
            </w:pPr>
            <w:r>
              <w:rPr>
                <w:rFonts w:eastAsia="宋体" w:cs="Times New Roman"/>
                <w:sz w:val="20"/>
                <w:szCs w:val="20"/>
              </w:rPr>
              <w:t xml:space="preserve">If </w:t>
            </w:r>
            <w:r>
              <w:rPr>
                <w:rFonts w:eastAsia="宋体" w:cs="Times New Roman"/>
                <w:sz w:val="20"/>
                <w:szCs w:val="20"/>
                <w:lang w:eastAsia="ja-JP"/>
              </w:rPr>
              <w:t>deriveSSB-IndexFromCell</w:t>
            </w:r>
            <w:r>
              <w:rPr>
                <w:rFonts w:eastAsia="宋体" w:cs="Times New Roman"/>
                <w:sz w:val="20"/>
                <w:szCs w:val="20"/>
              </w:rPr>
              <w:t xml:space="preserve">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p>
          <w:p>
            <w:pPr>
              <w:pStyle w:val="28"/>
              <w:numPr>
                <w:ilvl w:val="2"/>
                <w:numId w:val="4"/>
              </w:numPr>
              <w:ind w:firstLineChars="0"/>
              <w:rPr>
                <w:rFonts w:eastAsia="宋体" w:cs="Times New Roman"/>
                <w:sz w:val="20"/>
                <w:szCs w:val="20"/>
              </w:rPr>
            </w:pPr>
            <w:r>
              <w:rPr>
                <w:rFonts w:eastAsia="宋体" w:cs="Times New Roman"/>
                <w:sz w:val="20"/>
                <w:szCs w:val="20"/>
              </w:rPr>
              <w:t xml:space="preserve">If </w:t>
            </w:r>
            <w:r>
              <w:rPr>
                <w:rFonts w:eastAsia="宋体" w:cs="Times New Roman"/>
                <w:sz w:val="20"/>
                <w:szCs w:val="20"/>
                <w:lang w:eastAsia="ja-JP"/>
              </w:rPr>
              <w:t>deriveSSB-IndexFromCell</w:t>
            </w:r>
            <w:r>
              <w:rPr>
                <w:rFonts w:eastAsia="宋体" w:cs="Times New Roman"/>
                <w:sz w:val="20"/>
                <w:szCs w:val="20"/>
              </w:rPr>
              <w:t xml:space="preserve"> is </w:t>
            </w:r>
            <w:r>
              <w:rPr>
                <w:rFonts w:eastAsia="宋体" w:cs="Times New Roman"/>
                <w:sz w:val="20"/>
                <w:szCs w:val="20"/>
                <w:lang w:eastAsia="ko-KR"/>
              </w:rPr>
              <w:t xml:space="preserve">not </w:t>
            </w:r>
            <w:r>
              <w:rPr>
                <w:rFonts w:eastAsia="宋体" w:cs="Times New Roman"/>
                <w:sz w:val="20"/>
                <w:szCs w:val="20"/>
              </w:rPr>
              <w:t>enabled, the UE is not expected to receive PDCCH/PDSCH/TRS/CSI-RS for CQI on all symbols within SMTC window duration. If the high layer in TS 38.331 [2] signalling of smtc2 is configured, the SMTC periodicity follows smtc2; Otherwise SMTC periodicity follows smtc1.</w:t>
            </w:r>
          </w:p>
          <w:p>
            <w:pPr>
              <w:pStyle w:val="28"/>
              <w:numPr>
                <w:ilvl w:val="1"/>
                <w:numId w:val="4"/>
              </w:numPr>
              <w:ind w:firstLineChars="0"/>
              <w:rPr>
                <w:rFonts w:eastAsia="宋体" w:cs="Times New Roman"/>
                <w:sz w:val="20"/>
                <w:szCs w:val="20"/>
                <w:lang w:val="en-GB" w:eastAsia="en-GB"/>
              </w:rPr>
            </w:pPr>
            <w:r>
              <w:rPr>
                <w:rFonts w:eastAsia="宋体" w:cs="Times New Roman"/>
                <w:sz w:val="20"/>
                <w:szCs w:val="20"/>
                <w:lang w:val="en-GB" w:eastAsia="en-GB"/>
              </w:rPr>
              <w:t xml:space="preserve">When </w:t>
            </w:r>
            <w:r>
              <w:rPr>
                <w:rFonts w:eastAsia="宋体" w:cs="Times New Roman"/>
                <w:sz w:val="20"/>
                <w:szCs w:val="20"/>
              </w:rPr>
              <w:t>ATG UE with phase array antenna</w:t>
            </w:r>
            <w:r>
              <w:rPr>
                <w:rFonts w:eastAsia="宋体" w:cs="Times New Roman"/>
                <w:sz w:val="20"/>
                <w:szCs w:val="20"/>
                <w:lang w:val="en-GB" w:eastAsia="en-GB"/>
              </w:rPr>
              <w:t xml:space="preserve"> performs int</w:t>
            </w:r>
            <w:r>
              <w:rPr>
                <w:rFonts w:eastAsia="宋体" w:cs="Times New Roman"/>
                <w:sz w:val="20"/>
                <w:szCs w:val="20"/>
                <w:lang w:val="en-GB"/>
              </w:rPr>
              <w:t>er</w:t>
            </w:r>
            <w:r>
              <w:rPr>
                <w:rFonts w:eastAsia="宋体" w:cs="Times New Roman"/>
                <w:sz w:val="20"/>
                <w:szCs w:val="20"/>
                <w:lang w:val="en-GB" w:eastAsia="en-GB"/>
              </w:rPr>
              <w:t>-frequency measurements</w:t>
            </w:r>
            <w:r>
              <w:rPr>
                <w:rFonts w:eastAsia="宋体" w:cs="Times New Roman"/>
                <w:sz w:val="20"/>
                <w:szCs w:val="20"/>
                <w:lang w:val="en-GB"/>
              </w:rPr>
              <w:t xml:space="preserve"> without measurement gaps</w:t>
            </w:r>
            <w:r>
              <w:rPr>
                <w:rFonts w:eastAsia="宋体" w:cs="Times New Roman"/>
                <w:sz w:val="20"/>
                <w:szCs w:val="20"/>
                <w:lang w:val="en-GB" w:eastAsia="en-GB"/>
              </w:rPr>
              <w:t xml:space="preserve"> in a TDD band, the following restrictions apply due to SS-RSRP or SS-SINR measurement </w:t>
            </w:r>
          </w:p>
          <w:p>
            <w:pPr>
              <w:pStyle w:val="28"/>
              <w:numPr>
                <w:ilvl w:val="2"/>
                <w:numId w:val="4"/>
              </w:numPr>
              <w:ind w:firstLineChars="0"/>
              <w:rPr>
                <w:rFonts w:eastAsia="宋体" w:cs="Times New Roman"/>
                <w:sz w:val="20"/>
                <w:szCs w:val="20"/>
              </w:rPr>
            </w:pPr>
            <w:r>
              <w:rPr>
                <w:rFonts w:eastAsia="宋体" w:cs="Times New Roman"/>
                <w:sz w:val="20"/>
                <w:szCs w:val="20"/>
              </w:rPr>
              <w:t xml:space="preserve">UE is not expected to receive PUCCH/PUSCH/SRS on SSB symbols to be measured, and on 1 data symbol before each consecutive SSB symbols to be measured and 1 data symbol after each consecutive SSB symbols to be measured within SMTC window duration. </w:t>
            </w:r>
          </w:p>
          <w:p>
            <w:pPr>
              <w:pStyle w:val="28"/>
              <w:numPr>
                <w:ilvl w:val="1"/>
                <w:numId w:val="4"/>
              </w:numPr>
              <w:ind w:firstLineChars="0"/>
              <w:rPr>
                <w:rFonts w:eastAsia="宋体" w:cs="Times New Roman"/>
                <w:sz w:val="20"/>
                <w:szCs w:val="20"/>
                <w:lang w:val="en-GB" w:eastAsia="en-GB"/>
              </w:rPr>
            </w:pPr>
            <w:r>
              <w:rPr>
                <w:rFonts w:eastAsia="宋体" w:cs="Times New Roman"/>
                <w:sz w:val="20"/>
                <w:szCs w:val="20"/>
                <w:lang w:val="en-GB" w:eastAsia="en-GB"/>
              </w:rPr>
              <w:t xml:space="preserve">When </w:t>
            </w:r>
            <w:r>
              <w:rPr>
                <w:rFonts w:eastAsia="宋体" w:cs="Times New Roman"/>
                <w:sz w:val="20"/>
                <w:szCs w:val="20"/>
              </w:rPr>
              <w:t>ATG UE with phase array antenna</w:t>
            </w:r>
            <w:r>
              <w:rPr>
                <w:rFonts w:eastAsia="宋体" w:cs="Times New Roman"/>
                <w:sz w:val="20"/>
                <w:szCs w:val="20"/>
                <w:lang w:val="en-GB" w:eastAsia="en-GB"/>
              </w:rPr>
              <w:t xml:space="preserve"> performs int</w:t>
            </w:r>
            <w:r>
              <w:rPr>
                <w:rFonts w:eastAsia="宋体" w:cs="Times New Roman"/>
                <w:sz w:val="20"/>
                <w:szCs w:val="20"/>
                <w:lang w:val="en-GB"/>
              </w:rPr>
              <w:t>er</w:t>
            </w:r>
            <w:r>
              <w:rPr>
                <w:rFonts w:eastAsia="宋体" w:cs="Times New Roman"/>
                <w:sz w:val="20"/>
                <w:szCs w:val="20"/>
                <w:lang w:val="en-GB" w:eastAsia="en-GB"/>
              </w:rPr>
              <w:t>-frequency measurements</w:t>
            </w:r>
            <w:r>
              <w:rPr>
                <w:rFonts w:eastAsia="宋体" w:cs="Times New Roman"/>
                <w:sz w:val="20"/>
                <w:szCs w:val="20"/>
                <w:lang w:val="en-GB"/>
              </w:rPr>
              <w:t xml:space="preserve"> without measurement gaps</w:t>
            </w:r>
            <w:r>
              <w:rPr>
                <w:rFonts w:eastAsia="宋体" w:cs="Times New Roman"/>
                <w:sz w:val="20"/>
                <w:szCs w:val="20"/>
                <w:lang w:val="en-GB" w:eastAsia="en-GB"/>
              </w:rPr>
              <w:t xml:space="preserve"> in a TDD band, the following restrictions apply due to </w:t>
            </w:r>
            <w:r>
              <w:rPr>
                <w:rFonts w:eastAsia="宋体" w:cs="Times New Roman"/>
                <w:sz w:val="20"/>
                <w:szCs w:val="20"/>
                <w:lang w:eastAsia="en-GB"/>
              </w:rPr>
              <w:t>SS-RSRQ</w:t>
            </w:r>
            <w:r>
              <w:rPr>
                <w:rFonts w:eastAsia="宋体" w:cs="Times New Roman"/>
                <w:sz w:val="20"/>
                <w:szCs w:val="20"/>
                <w:lang w:val="en-GB" w:eastAsia="en-GB"/>
              </w:rPr>
              <w:t xml:space="preserve"> measurement </w:t>
            </w:r>
          </w:p>
          <w:p>
            <w:pPr>
              <w:pStyle w:val="28"/>
              <w:numPr>
                <w:ilvl w:val="2"/>
                <w:numId w:val="4"/>
              </w:numPr>
              <w:ind w:firstLineChars="0"/>
              <w:rPr>
                <w:b/>
                <w:sz w:val="20"/>
                <w:szCs w:val="20"/>
                <w:u w:val="single"/>
                <w:lang w:eastAsia="ko-KR"/>
              </w:rPr>
            </w:pPr>
            <w:r>
              <w:rPr>
                <w:rFonts w:eastAsia="宋体" w:cs="Times New Roman"/>
                <w:sz w:val="20"/>
                <w:szCs w:val="20"/>
              </w:rPr>
              <w:t xml:space="preserve">UE is not expected to receive PUCCH/PUSCH/SRS on SSB symbols to be measured, RSSI measurement symbols, and on 1 data symbol before each consecutive SSB to be measured/RSSI symbols and 1 data symbol after each consecutive SSB to be measured/RSSI symbols within SMTC window duration. </w:t>
            </w:r>
          </w:p>
          <w:p>
            <w:pPr>
              <w:pStyle w:val="28"/>
              <w:numPr>
                <w:ilvl w:val="0"/>
                <w:numId w:val="0"/>
              </w:numPr>
              <w:ind w:left="156" w:leftChars="0"/>
              <w:rPr>
                <w:b/>
                <w:sz w:val="20"/>
                <w:szCs w:val="20"/>
                <w:u w:val="single"/>
                <w:lang w:eastAsia="ko-KR"/>
              </w:rPr>
            </w:pPr>
            <w:r>
              <w:rPr>
                <w:rFonts w:eastAsia="宋体" w:cs="Times New Roman"/>
                <w:sz w:val="20"/>
                <w:szCs w:val="20"/>
              </w:rPr>
              <w:t>Agreement: Option 1.</w:t>
            </w:r>
          </w:p>
          <w:p>
            <w:pPr>
              <w:pStyle w:val="2"/>
              <w:numPr>
                <w:ilvl w:val="0"/>
                <w:numId w:val="0"/>
              </w:numPr>
              <w:pBdr>
                <w:top w:val="none" w:color="auto" w:sz="0" w:space="3"/>
              </w:pBdr>
              <w:spacing w:before="180" w:after="180" w:line="240" w:lineRule="auto"/>
              <w:ind w:leftChars="0"/>
              <w:rPr>
                <w:rFonts w:cs="Arial"/>
                <w:b/>
                <w:bCs/>
                <w:kern w:val="0"/>
                <w:sz w:val="24"/>
                <w:szCs w:val="24"/>
                <w:lang w:eastAsia="ko-KR"/>
              </w:rPr>
            </w:pPr>
            <w:r>
              <w:rPr>
                <w:rFonts w:hint="eastAsia" w:cs="Arial"/>
                <w:b/>
                <w:bCs/>
                <w:kern w:val="0"/>
                <w:sz w:val="24"/>
                <w:szCs w:val="24"/>
              </w:rPr>
              <w:t>Measurement requirement</w:t>
            </w:r>
          </w:p>
          <w:p>
            <w:pPr>
              <w:rPr>
                <w:b/>
                <w:sz w:val="20"/>
                <w:szCs w:val="20"/>
                <w:u w:val="single"/>
                <w:lang w:eastAsia="ko-KR"/>
              </w:rPr>
            </w:pPr>
            <w:r>
              <w:rPr>
                <w:rFonts w:hint="eastAsia"/>
                <w:b/>
                <w:sz w:val="20"/>
                <w:szCs w:val="20"/>
                <w:u w:val="single"/>
                <w:lang w:eastAsia="ko-KR"/>
              </w:rPr>
              <w:t>Issue 4-2-1: Applicability rule</w:t>
            </w:r>
          </w:p>
          <w:p>
            <w:pPr>
              <w:pStyle w:val="28"/>
              <w:numPr>
                <w:ilvl w:val="0"/>
                <w:numId w:val="4"/>
              </w:numPr>
              <w:ind w:firstLineChars="0"/>
              <w:rPr>
                <w:rFonts w:eastAsia="宋体"/>
                <w:sz w:val="20"/>
                <w:szCs w:val="20"/>
              </w:rPr>
            </w:pPr>
            <w:r>
              <w:rPr>
                <w:rFonts w:hint="eastAsia" w:eastAsia="宋体" w:cs="Times New Roman"/>
                <w:sz w:val="20"/>
                <w:szCs w:val="20"/>
              </w:rPr>
              <w:t xml:space="preserve">Option 1: </w:t>
            </w:r>
            <w:r>
              <w:rPr>
                <w:rFonts w:hint="eastAsia" w:eastAsia="宋体" w:cs="Times New Roman"/>
                <w:sz w:val="20"/>
                <w:szCs w:val="20"/>
                <w:lang w:eastAsia="ko-KR"/>
              </w:rPr>
              <w:t>The measurement requirements for ATG neighbor cells should apply provided that SSB of neighbor cells are within SMTC window in Rel-18.</w:t>
            </w:r>
            <w:r>
              <w:rPr>
                <w:rFonts w:hint="eastAsia" w:eastAsia="宋体" w:cs="Times New Roman"/>
                <w:sz w:val="20"/>
                <w:szCs w:val="20"/>
              </w:rPr>
              <w:t xml:space="preserve"> </w:t>
            </w:r>
          </w:p>
          <w:p>
            <w:pPr>
              <w:pStyle w:val="28"/>
              <w:numPr>
                <w:ilvl w:val="0"/>
                <w:numId w:val="0"/>
              </w:numPr>
              <w:ind w:left="156" w:leftChars="0"/>
              <w:rPr>
                <w:rFonts w:hint="eastAsia" w:eastAsia="宋体"/>
                <w:color w:val="auto"/>
                <w:sz w:val="20"/>
                <w:szCs w:val="20"/>
                <w:vertAlign w:val="baseline"/>
                <w:lang w:val="en-US" w:eastAsia="zh-CN"/>
              </w:rPr>
            </w:pPr>
            <w:r>
              <w:rPr>
                <w:rFonts w:eastAsia="宋体" w:cs="Times New Roman"/>
                <w:sz w:val="20"/>
                <w:szCs w:val="20"/>
              </w:rPr>
              <w:t>Agreement: Option 1.</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Based on the progress all achieved in previous meetings, around the measurement for ATG UE, basically all remaining issues have been identified. Only one FFS regarding the UE capability of phase antenna array is still kept. Additionally, some further update around the scaling factor N maybe needed when considering inter-frequency RRM measurement. In this document, we provide our views focused on these issue.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CPE UE operation on 4G Hz, even it belongs to FR1, for the sake of the coverage, phase antenna array i.e. directional antenna is assumed in co-existence study. Such antenna assumption is different from legacy for FR1, so the concerns on the measurement performance due to the potential unmatched beam direction raised during previous meetings. Accordingly, the solutions were discussed and agreed in last meeting in [1], i.e. introducing scaling factor N to give UE enough opportunity to accommodate the measurements for serving cell and neighbour cells. For details, N = 3 for the case that the network assistance on ATG cells reference locations is provided; otherwise N = 4.</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reason of setting N = 3 lies in the consideration of one serving cell plus two potential neighbour cells adjacent the current serving cell. Originally we prefer only one neighbour cell along the flight route is enough when determine N, while some company concerns the deployment of cells may be not in line but in reticulation, so besides the serving cell, considering two neighbour cells is robust, so finally N is determined as 3 for the case that the network assistance on ATG cells reference locations is provided.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However due to both intra-frequency and inter-frequency RRM measurements are considered in ATG, for inter-frequency RRM measurement, no need to accommodate serving cell, so the scaling factor N can be reduced by one. As a result, N = 2 for inter-frequency RRM measurements when the network assistance on ATG cells reference locations is provided. Accordingly, similar reduction is applied for the otherwise case, i.e. N = 3 for the case of he network assistance on ATG cells reference locations is not provided.</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intra-frequency RRM measurement, keep the agreements achieved in last meeting in terms of scaling factor N for phase antenna array. While for inter-frequency RRM measurement, reduce the N by one, i.e. N = 2 for the case when network assistance on ATG cells reference locations is provided, otherwise N = 3.</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Still one FFS is kept regarding the UE capability of phase antenna array. To our understanding, the whole picture is: The ATG UE would report which ATG band(s) within the ATG applicable bands can be supported by the UE. All ATG applicable bands are shown in Table 1. Once band n79 is reported as support, which means the UE is applied with antenna array at least. By default, if NW configures band n79 to UE, which means the phase antenna array is assumed, and the requirements of phase antenna array should be applied. If other band than n79 is configured by the NW, then omni-antenna is assumed at UE. So no need to apply the requirements for phase antenna array.</w:t>
      </w:r>
    </w:p>
    <w:p>
      <w:pPr>
        <w:pStyle w:val="51"/>
        <w:keepLines w:val="0"/>
        <w:widowControl w:val="0"/>
        <w:spacing w:before="120" w:after="120"/>
        <w:ind w:left="0" w:firstLine="0"/>
        <w:jc w:val="center"/>
        <w:rPr>
          <w:rFonts w:hint="default"/>
          <w:lang w:val="en-US" w:eastAsia="zh-CN"/>
        </w:rPr>
      </w:pPr>
      <w:r>
        <w:rPr>
          <w:rFonts w:hint="eastAsia"/>
          <w:lang w:val="en-US" w:eastAsia="zh-CN"/>
        </w:rPr>
        <w:t>Table 1 NR operating bands related to ATG in FR1</w:t>
      </w:r>
    </w:p>
    <w:tbl>
      <w:tblPr>
        <w:tblStyle w:val="16"/>
        <w:tblW w:w="0" w:type="auto"/>
        <w:jc w:val="center"/>
        <w:tblLayout w:type="autofit"/>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widowControl w:val="0"/>
              <w:spacing w:after="0"/>
              <w:jc w:val="center"/>
              <w:rPr>
                <w:rFonts w:eastAsia="MS Mincho"/>
                <w:b/>
                <w:sz w:val="18"/>
              </w:rPr>
            </w:pPr>
            <w:r>
              <w:rPr>
                <w:rFonts w:eastAsia="MS Mincho"/>
                <w:b/>
                <w:sz w:val="18"/>
              </w:rPr>
              <w:t>NR operating band</w:t>
            </w:r>
          </w:p>
        </w:tc>
        <w:tc>
          <w:tcPr>
            <w:tcW w:w="2715" w:type="dxa"/>
            <w:tcBorders>
              <w:top w:val="single" w:color="auto" w:sz="4" w:space="0"/>
              <w:left w:val="single" w:color="auto" w:sz="4" w:space="0"/>
              <w:bottom w:val="single" w:color="auto" w:sz="4" w:space="0"/>
              <w:right w:val="single" w:color="auto" w:sz="4" w:space="0"/>
            </w:tcBorders>
          </w:tcPr>
          <w:p>
            <w:pPr>
              <w:widowControl w:val="0"/>
              <w:spacing w:after="0"/>
              <w:jc w:val="center"/>
              <w:rPr>
                <w:rFonts w:eastAsia="MS Mincho"/>
                <w:b/>
                <w:sz w:val="18"/>
              </w:rPr>
            </w:pPr>
            <w:r>
              <w:rPr>
                <w:rFonts w:eastAsia="MS Mincho"/>
                <w:b/>
                <w:sz w:val="18"/>
              </w:rPr>
              <w:t xml:space="preserve">Uplink (UL) </w:t>
            </w:r>
            <w:r>
              <w:rPr>
                <w:rFonts w:eastAsia="MS Mincho"/>
                <w:b/>
                <w:i/>
                <w:sz w:val="18"/>
              </w:rPr>
              <w:t>operating band</w:t>
            </w:r>
            <w:r>
              <w:rPr>
                <w:rFonts w:eastAsia="MS Mincho"/>
                <w:b/>
                <w:sz w:val="18"/>
              </w:rPr>
              <w:br w:type="textWrapping"/>
            </w:r>
            <w:r>
              <w:rPr>
                <w:rFonts w:eastAsia="MS Mincho"/>
                <w:b/>
                <w:sz w:val="18"/>
              </w:rPr>
              <w:t>BS receive / UE transmit</w:t>
            </w:r>
          </w:p>
          <w:p>
            <w:pPr>
              <w:widowControl w:val="0"/>
              <w:spacing w:after="0"/>
              <w:jc w:val="center"/>
              <w:rPr>
                <w:rFonts w:eastAsia="MS Mincho"/>
                <w:b/>
                <w:sz w:val="18"/>
                <w:vertAlign w:val="subscript"/>
              </w:rPr>
            </w:pPr>
            <w:r>
              <w:rPr>
                <w:rFonts w:eastAsia="MS Mincho"/>
                <w:b/>
                <w:sz w:val="18"/>
              </w:rPr>
              <w:t>F</w:t>
            </w:r>
            <w:r>
              <w:rPr>
                <w:rFonts w:eastAsia="MS Mincho"/>
                <w:b/>
                <w:sz w:val="18"/>
                <w:vertAlign w:val="subscript"/>
              </w:rPr>
              <w:t xml:space="preserve">UL_low </w:t>
            </w:r>
            <w:r>
              <w:rPr>
                <w:rFonts w:eastAsia="MS Mincho"/>
                <w:b/>
                <w:sz w:val="18"/>
              </w:rPr>
              <w:t xml:space="preserve">  –  F</w:t>
            </w:r>
            <w:r>
              <w:rPr>
                <w:rFonts w:eastAsia="MS Mincho"/>
                <w:b/>
                <w:sz w:val="18"/>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widowControl w:val="0"/>
              <w:spacing w:after="0"/>
              <w:jc w:val="center"/>
              <w:rPr>
                <w:rFonts w:eastAsia="MS Mincho"/>
                <w:b/>
                <w:sz w:val="18"/>
              </w:rPr>
            </w:pPr>
            <w:r>
              <w:rPr>
                <w:rFonts w:eastAsia="MS Mincho"/>
                <w:b/>
                <w:sz w:val="18"/>
              </w:rPr>
              <w:t xml:space="preserve">Downlink (DL) </w:t>
            </w:r>
            <w:r>
              <w:rPr>
                <w:rFonts w:eastAsia="MS Mincho"/>
                <w:b/>
                <w:i/>
                <w:sz w:val="18"/>
              </w:rPr>
              <w:t>operating band</w:t>
            </w:r>
            <w:r>
              <w:rPr>
                <w:rFonts w:eastAsia="MS Mincho"/>
                <w:b/>
                <w:sz w:val="18"/>
              </w:rPr>
              <w:br w:type="textWrapping"/>
            </w:r>
            <w:r>
              <w:rPr>
                <w:rFonts w:eastAsia="MS Mincho"/>
                <w:b/>
                <w:sz w:val="18"/>
              </w:rPr>
              <w:t>BS transmit / UE receive</w:t>
            </w:r>
          </w:p>
          <w:p>
            <w:pPr>
              <w:widowControl w:val="0"/>
              <w:spacing w:after="0"/>
              <w:jc w:val="center"/>
              <w:rPr>
                <w:rFonts w:eastAsia="MS Mincho"/>
                <w:b/>
                <w:sz w:val="18"/>
              </w:rPr>
            </w:pPr>
            <w:r>
              <w:rPr>
                <w:rFonts w:eastAsia="MS Mincho"/>
                <w:b/>
                <w:sz w:val="18"/>
              </w:rPr>
              <w:t>F</w:t>
            </w:r>
            <w:r>
              <w:rPr>
                <w:rFonts w:eastAsia="MS Mincho"/>
                <w:b/>
                <w:sz w:val="18"/>
                <w:vertAlign w:val="subscript"/>
              </w:rPr>
              <w:t>DL_low</w:t>
            </w:r>
            <w:r>
              <w:rPr>
                <w:rFonts w:eastAsia="MS Mincho"/>
                <w:b/>
                <w:sz w:val="18"/>
              </w:rPr>
              <w:t xml:space="preserve">   –  F</w:t>
            </w:r>
            <w:r>
              <w:rPr>
                <w:rFonts w:eastAsia="MS Mincho"/>
                <w:b/>
                <w:sz w:val="18"/>
                <w:vertAlign w:val="subscript"/>
              </w:rPr>
              <w:t>DL_high</w:t>
            </w:r>
          </w:p>
        </w:tc>
        <w:tc>
          <w:tcPr>
            <w:tcW w:w="908" w:type="dxa"/>
            <w:tcBorders>
              <w:top w:val="single" w:color="auto" w:sz="4" w:space="0"/>
              <w:left w:val="single" w:color="auto" w:sz="4" w:space="0"/>
              <w:bottom w:val="nil"/>
              <w:right w:val="single" w:color="auto" w:sz="4" w:space="0"/>
            </w:tcBorders>
          </w:tcPr>
          <w:p>
            <w:pPr>
              <w:widowControl w:val="0"/>
              <w:spacing w:after="0"/>
              <w:jc w:val="center"/>
              <w:rPr>
                <w:rFonts w:eastAsia="MS Mincho"/>
                <w:b/>
                <w:sz w:val="18"/>
              </w:rPr>
            </w:pPr>
            <w:r>
              <w:rPr>
                <w:rFonts w:eastAsia="MS Mincho"/>
                <w:b/>
                <w:sz w:val="18"/>
              </w:rP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1920 MHz – 1980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2110 MHz – 2170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1710 MHz – 1785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1805 MHz – 1880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2010 MHz – 2025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2010 MHz – 2025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1880 MHz – 1920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1880 MHz – 1920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n41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2496 MHz – 2690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2496 MHz – 2690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n78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3300 MHz – 3800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3300 MHz – 3800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n79</w:t>
            </w:r>
          </w:p>
        </w:tc>
        <w:tc>
          <w:tcPr>
            <w:tcW w:w="271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4400 MHz – 5000 MHz</w:t>
            </w:r>
          </w:p>
        </w:tc>
        <w:tc>
          <w:tcPr>
            <w:tcW w:w="295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4400 MHz – 5000 MHz</w:t>
            </w:r>
          </w:p>
        </w:tc>
        <w:tc>
          <w:tcPr>
            <w:tcW w:w="90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TDD</w:t>
            </w:r>
          </w:p>
        </w:tc>
      </w:tr>
    </w:tbl>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Therefore, no need to introduce any additional UE capability of supporting phase antenna array, such antenna assumption is tied with band n79 by default. </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Regarding the antenna assumption, phase antenna array is tied with band n79, and omni-antenna is tied with other ATG bands. For the band n79 capable UE, it works with phase antenna array by default at band n79.</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measurement requirements for ATG system</w:t>
      </w:r>
      <w:r>
        <w:rPr>
          <w:rFonts w:eastAsia="宋体"/>
          <w:bCs/>
          <w:color w:val="auto"/>
          <w:sz w:val="20"/>
          <w:szCs w:val="20"/>
          <w:lang w:val="en-GB" w:eastAsia="zh-CN"/>
        </w:rPr>
        <w:t>:</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intra-frequency RRM measurement, keep the agreements achieved in last meeting in terms of scaling factor N for phase antenna array. While for inter-frequency RRM measurement, reduce the N by one, i.e. N = 2 for the case when network assistance on ATG cells reference locations is provided, otherwise N = 3.</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Regarding the antenna assumption, phase antenna array is tied with band n79, and omni-antenna is tied with other ATG bands. For the band n79 capable UE, it works with phase antenna array by default at band n79.</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5"/>
        </w:numPr>
        <w:ind w:left="0" w:leftChars="0" w:firstLine="0" w:firstLineChars="0"/>
        <w:rPr>
          <w:rFonts w:hint="default"/>
          <w:color w:val="auto"/>
          <w:lang w:val="en-US" w:eastAsia="zh-CN"/>
        </w:rPr>
      </w:pPr>
      <w:r>
        <w:rPr>
          <w:rFonts w:hint="eastAsia"/>
          <w:color w:val="auto"/>
          <w:lang w:val="en-US" w:eastAsia="zh-CN"/>
        </w:rPr>
        <w:t xml:space="preserve">R4-2314307 </w:t>
      </w:r>
      <w:r>
        <w:rPr>
          <w:rFonts w:hint="default"/>
          <w:color w:val="auto"/>
          <w:lang w:val="en-US" w:eastAsia="zh-CN"/>
        </w:rPr>
        <w:t>“WF on NR ATG RRM requirements”</w:t>
      </w:r>
      <w:r>
        <w:rPr>
          <w:rFonts w:hint="eastAsia"/>
          <w:color w:val="auto"/>
          <w:lang w:val="en-US" w:eastAsia="zh-CN"/>
        </w:rPr>
        <w:t>, CMCC</w:t>
      </w:r>
    </w:p>
    <w:p>
      <w:pPr>
        <w:pStyle w:val="9"/>
        <w:numPr>
          <w:ilvl w:val="0"/>
          <w:numId w:val="5"/>
        </w:numPr>
        <w:ind w:left="0" w:leftChars="0" w:firstLine="0" w:firstLineChars="0"/>
        <w:rPr>
          <w:rFonts w:hint="default" w:eastAsia="宋体"/>
          <w:color w:val="auto"/>
          <w:highlight w:val="none"/>
          <w:lang w:val="en-US" w:eastAsia="zh-CN"/>
        </w:rPr>
      </w:pPr>
      <w:r>
        <w:rPr>
          <w:rFonts w:hint="eastAsia"/>
          <w:color w:val="auto"/>
          <w:lang w:val="en-US" w:eastAsia="zh-CN"/>
        </w:rPr>
        <w:t>TS 38.331-h50.</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4B"/>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E73AD0"/>
    <w:rsid w:val="05000747"/>
    <w:rsid w:val="05317828"/>
    <w:rsid w:val="05477E90"/>
    <w:rsid w:val="05BB5AB9"/>
    <w:rsid w:val="05C42923"/>
    <w:rsid w:val="06226EA6"/>
    <w:rsid w:val="065C04B2"/>
    <w:rsid w:val="06963BA6"/>
    <w:rsid w:val="07CB1C61"/>
    <w:rsid w:val="07CD3CDD"/>
    <w:rsid w:val="07F64CE8"/>
    <w:rsid w:val="083E6EA0"/>
    <w:rsid w:val="084E5514"/>
    <w:rsid w:val="0855671D"/>
    <w:rsid w:val="089009EB"/>
    <w:rsid w:val="08EA2407"/>
    <w:rsid w:val="09716BCA"/>
    <w:rsid w:val="09C27532"/>
    <w:rsid w:val="09D64B23"/>
    <w:rsid w:val="09E644B8"/>
    <w:rsid w:val="0A867423"/>
    <w:rsid w:val="0AB155C2"/>
    <w:rsid w:val="0B12013A"/>
    <w:rsid w:val="0B3D3C2F"/>
    <w:rsid w:val="0BB0429A"/>
    <w:rsid w:val="0BDD6CEC"/>
    <w:rsid w:val="0BFF5FC6"/>
    <w:rsid w:val="0C394019"/>
    <w:rsid w:val="0CD05342"/>
    <w:rsid w:val="0CDB4E5B"/>
    <w:rsid w:val="0DEE745F"/>
    <w:rsid w:val="0DFD7458"/>
    <w:rsid w:val="0E104B55"/>
    <w:rsid w:val="0FAD3D1E"/>
    <w:rsid w:val="102263EF"/>
    <w:rsid w:val="10997F43"/>
    <w:rsid w:val="10DE7BAE"/>
    <w:rsid w:val="120774A3"/>
    <w:rsid w:val="12577549"/>
    <w:rsid w:val="12887761"/>
    <w:rsid w:val="14006D19"/>
    <w:rsid w:val="1481754F"/>
    <w:rsid w:val="148F32AB"/>
    <w:rsid w:val="148F5721"/>
    <w:rsid w:val="14AC57CD"/>
    <w:rsid w:val="15ED3E9B"/>
    <w:rsid w:val="164514BE"/>
    <w:rsid w:val="166B2EA9"/>
    <w:rsid w:val="16E73296"/>
    <w:rsid w:val="170F06AA"/>
    <w:rsid w:val="17225508"/>
    <w:rsid w:val="17603D5C"/>
    <w:rsid w:val="17B07FBC"/>
    <w:rsid w:val="180A6E32"/>
    <w:rsid w:val="183F2CD2"/>
    <w:rsid w:val="1856323E"/>
    <w:rsid w:val="18AF55E3"/>
    <w:rsid w:val="18B077E2"/>
    <w:rsid w:val="18B1519A"/>
    <w:rsid w:val="18CD0507"/>
    <w:rsid w:val="18F36BA5"/>
    <w:rsid w:val="192B1048"/>
    <w:rsid w:val="193B6DE3"/>
    <w:rsid w:val="195D7D48"/>
    <w:rsid w:val="1AD01A1B"/>
    <w:rsid w:val="1B61065A"/>
    <w:rsid w:val="1B8505B7"/>
    <w:rsid w:val="1BBF3927"/>
    <w:rsid w:val="1C177B08"/>
    <w:rsid w:val="1C9001C6"/>
    <w:rsid w:val="1CBA2101"/>
    <w:rsid w:val="1D0573D7"/>
    <w:rsid w:val="1D153DC4"/>
    <w:rsid w:val="1D223E0B"/>
    <w:rsid w:val="1D317C9F"/>
    <w:rsid w:val="1D6B1DA5"/>
    <w:rsid w:val="1E132F88"/>
    <w:rsid w:val="1E2867E9"/>
    <w:rsid w:val="1E853F6F"/>
    <w:rsid w:val="1E9C7BCC"/>
    <w:rsid w:val="1ECC1E3C"/>
    <w:rsid w:val="1EEE24B1"/>
    <w:rsid w:val="203504C5"/>
    <w:rsid w:val="2067621D"/>
    <w:rsid w:val="208364FC"/>
    <w:rsid w:val="208953F9"/>
    <w:rsid w:val="21014C39"/>
    <w:rsid w:val="21244EB1"/>
    <w:rsid w:val="213964D8"/>
    <w:rsid w:val="21595D04"/>
    <w:rsid w:val="21F13629"/>
    <w:rsid w:val="223236B6"/>
    <w:rsid w:val="2255462C"/>
    <w:rsid w:val="22CD49DC"/>
    <w:rsid w:val="22E5139E"/>
    <w:rsid w:val="2305377E"/>
    <w:rsid w:val="237674B3"/>
    <w:rsid w:val="238230CD"/>
    <w:rsid w:val="23901822"/>
    <w:rsid w:val="24122135"/>
    <w:rsid w:val="24D4257E"/>
    <w:rsid w:val="2572202B"/>
    <w:rsid w:val="2605683C"/>
    <w:rsid w:val="26BB1419"/>
    <w:rsid w:val="27A2088A"/>
    <w:rsid w:val="27B748AA"/>
    <w:rsid w:val="27CB4CB9"/>
    <w:rsid w:val="281C2F58"/>
    <w:rsid w:val="28DF773E"/>
    <w:rsid w:val="29642C4B"/>
    <w:rsid w:val="29C21DCA"/>
    <w:rsid w:val="2A34628C"/>
    <w:rsid w:val="2A724D05"/>
    <w:rsid w:val="2A7E505C"/>
    <w:rsid w:val="2AC85686"/>
    <w:rsid w:val="2AD04B5F"/>
    <w:rsid w:val="2BC05B2C"/>
    <w:rsid w:val="2BD617C5"/>
    <w:rsid w:val="2C112837"/>
    <w:rsid w:val="2C9B1252"/>
    <w:rsid w:val="2C9C2786"/>
    <w:rsid w:val="2CC13667"/>
    <w:rsid w:val="2E014790"/>
    <w:rsid w:val="2E3F30C4"/>
    <w:rsid w:val="2EE77680"/>
    <w:rsid w:val="2F2F0FC8"/>
    <w:rsid w:val="2FA70460"/>
    <w:rsid w:val="30057FE3"/>
    <w:rsid w:val="301C6BB6"/>
    <w:rsid w:val="311A1818"/>
    <w:rsid w:val="31876C6F"/>
    <w:rsid w:val="319708F2"/>
    <w:rsid w:val="31A8260E"/>
    <w:rsid w:val="31B14C9E"/>
    <w:rsid w:val="32577A1B"/>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3DF2306A"/>
    <w:rsid w:val="3FEC6FC4"/>
    <w:rsid w:val="405F175E"/>
    <w:rsid w:val="40C765F3"/>
    <w:rsid w:val="42AF3D95"/>
    <w:rsid w:val="42C9357F"/>
    <w:rsid w:val="42F869D2"/>
    <w:rsid w:val="43186073"/>
    <w:rsid w:val="43553536"/>
    <w:rsid w:val="44972678"/>
    <w:rsid w:val="451632B9"/>
    <w:rsid w:val="45906394"/>
    <w:rsid w:val="45C245CB"/>
    <w:rsid w:val="45F60A50"/>
    <w:rsid w:val="46142D0C"/>
    <w:rsid w:val="46263A53"/>
    <w:rsid w:val="46970A81"/>
    <w:rsid w:val="46B036BF"/>
    <w:rsid w:val="46CC320F"/>
    <w:rsid w:val="47282363"/>
    <w:rsid w:val="47810C98"/>
    <w:rsid w:val="47924F0A"/>
    <w:rsid w:val="48EE54ED"/>
    <w:rsid w:val="48F407FD"/>
    <w:rsid w:val="49DC4EAC"/>
    <w:rsid w:val="49E55BC5"/>
    <w:rsid w:val="4A5D0BB5"/>
    <w:rsid w:val="4A784B9A"/>
    <w:rsid w:val="4ADC0DE1"/>
    <w:rsid w:val="4B600E77"/>
    <w:rsid w:val="4B8B4475"/>
    <w:rsid w:val="4B8F684D"/>
    <w:rsid w:val="4BF02011"/>
    <w:rsid w:val="4C1C63D6"/>
    <w:rsid w:val="4C2D52ED"/>
    <w:rsid w:val="4C4F7C59"/>
    <w:rsid w:val="4C7C4A4B"/>
    <w:rsid w:val="4C864A35"/>
    <w:rsid w:val="4D207A05"/>
    <w:rsid w:val="4D53283E"/>
    <w:rsid w:val="4D6F4DFF"/>
    <w:rsid w:val="4E015C76"/>
    <w:rsid w:val="4E310026"/>
    <w:rsid w:val="4E4A2325"/>
    <w:rsid w:val="4FC7362A"/>
    <w:rsid w:val="501A6C55"/>
    <w:rsid w:val="515B1740"/>
    <w:rsid w:val="51B14BED"/>
    <w:rsid w:val="52526454"/>
    <w:rsid w:val="525C1CEF"/>
    <w:rsid w:val="528B5767"/>
    <w:rsid w:val="52D33625"/>
    <w:rsid w:val="53A3105E"/>
    <w:rsid w:val="53C64B93"/>
    <w:rsid w:val="53F33DE3"/>
    <w:rsid w:val="548A6C60"/>
    <w:rsid w:val="55B1164D"/>
    <w:rsid w:val="55B4735E"/>
    <w:rsid w:val="55BB221D"/>
    <w:rsid w:val="56371459"/>
    <w:rsid w:val="56484633"/>
    <w:rsid w:val="57FF4799"/>
    <w:rsid w:val="58D0053D"/>
    <w:rsid w:val="595A2A3C"/>
    <w:rsid w:val="598C40A0"/>
    <w:rsid w:val="59DA647E"/>
    <w:rsid w:val="5A556E1A"/>
    <w:rsid w:val="5BF92FF2"/>
    <w:rsid w:val="5C0C7CD1"/>
    <w:rsid w:val="5C924E81"/>
    <w:rsid w:val="5E2864D0"/>
    <w:rsid w:val="5E494511"/>
    <w:rsid w:val="5EB44FC0"/>
    <w:rsid w:val="5FBA395F"/>
    <w:rsid w:val="60094E5C"/>
    <w:rsid w:val="606F38F4"/>
    <w:rsid w:val="60EC2CBA"/>
    <w:rsid w:val="61601768"/>
    <w:rsid w:val="61CC2D28"/>
    <w:rsid w:val="623E10C1"/>
    <w:rsid w:val="635902CD"/>
    <w:rsid w:val="63C03536"/>
    <w:rsid w:val="64706BBE"/>
    <w:rsid w:val="64F2095B"/>
    <w:rsid w:val="65A16A49"/>
    <w:rsid w:val="67A858DB"/>
    <w:rsid w:val="67FE4166"/>
    <w:rsid w:val="68C401C3"/>
    <w:rsid w:val="695848C3"/>
    <w:rsid w:val="69A833BD"/>
    <w:rsid w:val="69AF6305"/>
    <w:rsid w:val="69EF6835"/>
    <w:rsid w:val="6D566F0F"/>
    <w:rsid w:val="6D836F72"/>
    <w:rsid w:val="6D8D1B93"/>
    <w:rsid w:val="6DDE3DAF"/>
    <w:rsid w:val="6DE76B3B"/>
    <w:rsid w:val="6E3241BE"/>
    <w:rsid w:val="6EB97A9D"/>
    <w:rsid w:val="6EF10A90"/>
    <w:rsid w:val="6EFC7DED"/>
    <w:rsid w:val="6F2309BE"/>
    <w:rsid w:val="6F2A7FBF"/>
    <w:rsid w:val="6FAE5A48"/>
    <w:rsid w:val="6FFF1868"/>
    <w:rsid w:val="707E77A2"/>
    <w:rsid w:val="715F4C2D"/>
    <w:rsid w:val="71DD657B"/>
    <w:rsid w:val="722F78FB"/>
    <w:rsid w:val="723C2F8E"/>
    <w:rsid w:val="723D67C5"/>
    <w:rsid w:val="726A5F44"/>
    <w:rsid w:val="72BF60CA"/>
    <w:rsid w:val="72F41282"/>
    <w:rsid w:val="73020973"/>
    <w:rsid w:val="733D0D32"/>
    <w:rsid w:val="73B76769"/>
    <w:rsid w:val="73D411F1"/>
    <w:rsid w:val="744C446A"/>
    <w:rsid w:val="74A356B2"/>
    <w:rsid w:val="753811DE"/>
    <w:rsid w:val="75BE67D4"/>
    <w:rsid w:val="75C2004C"/>
    <w:rsid w:val="75C759C1"/>
    <w:rsid w:val="76281B03"/>
    <w:rsid w:val="762D64F3"/>
    <w:rsid w:val="762E20AD"/>
    <w:rsid w:val="767E7EFF"/>
    <w:rsid w:val="76B05EE3"/>
    <w:rsid w:val="775B4604"/>
    <w:rsid w:val="77C067C3"/>
    <w:rsid w:val="77CF305F"/>
    <w:rsid w:val="78074939"/>
    <w:rsid w:val="785A7CE0"/>
    <w:rsid w:val="78911E31"/>
    <w:rsid w:val="78F9732D"/>
    <w:rsid w:val="7922350F"/>
    <w:rsid w:val="792B5470"/>
    <w:rsid w:val="79CD1400"/>
    <w:rsid w:val="7A2F5236"/>
    <w:rsid w:val="7A9367CB"/>
    <w:rsid w:val="7AEF5C78"/>
    <w:rsid w:val="7AF22571"/>
    <w:rsid w:val="7B0720CF"/>
    <w:rsid w:val="7B4C0E47"/>
    <w:rsid w:val="7B69224B"/>
    <w:rsid w:val="7BE80F25"/>
    <w:rsid w:val="7C1C35A7"/>
    <w:rsid w:val="7C45431D"/>
    <w:rsid w:val="7D1566A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2023-09-27T13:58:06Z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1AFA51F72A8A4F5496759DA4FAD836F7</vt:lpwstr>
  </property>
</Properties>
</file>